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VATSC51800 - Grants: Indicators Of The Supply Position</w:t>
      </w:r>
    </w:p>
    <w:p>
      <w:r>
        <w:t>This guidance sets out indicators to consider when deciding whether or not a payment is consideration for a supply which have been taken from precedent decisions.</w:t>
      </w:r>
    </w:p>
    <w:p>
      <w:r>
        <w:t>The following terms are used –</w:t>
      </w:r>
    </w:p>
    <w:p>
      <w:r>
        <w:t>Funder – the organisation making the payment</w:t>
      </w:r>
    </w:p>
    <w:p>
      <w:r>
        <w:t>Supplier – the organisation receiving the payment and supplying goods or services to third parties</w:t>
      </w:r>
    </w:p>
    <w:p>
      <w:r>
        <w:t>All factors need to be considered, the more there are from each section the greater the evidence for a decision. However, it is not simply a matter of ‘indicators for’ exceeding ‘indicators against’, a balanced view needs to be formed taking all the applicable indicators into account. You must consider the economic reality not just the contractual terms.</w:t>
      </w:r>
    </w:p>
    <w:p>
      <w:r>
        <w:t>The principal factor to consider is if a specific supply is made to the funder or a third party in return for a payment. If so then the payment is consideration for a supply, but if this direct link is not established then the payment can be treated as outside the scope of VAT.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