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VATSC54800 - Consideration - Management Charges And Directors’ Services: Contents</w:t>
      </w:r>
    </w:p>
    <w:p>
      <w:r>
        <w:t>VATSC55000    Background</w:t>
      </w:r>
    </w:p>
    <w:p>
      <w:r>
        <w:t>VATSC55200    How to confirm management charges</w:t>
      </w:r>
    </w:p>
    <w:p>
      <w:r>
        <w:t>VATSC55400    Holding companies</w:t>
      </w:r>
    </w:p>
    <w:p>
      <w:r>
        <w:t>VATSC55600    The Newmir case</w:t>
      </w:r>
    </w:p>
    <w:p>
      <w:r>
        <w:t>VATSC55800    Group relief</w:t>
      </w:r>
    </w:p>
    <w:p>
      <w:r>
        <w:t>VATSC56000    The Tilling case</w:t>
      </w:r>
    </w:p>
    <w:p>
      <w:r>
        <w:t>VATSC56200    Wording of a memorandum agreed with the accountancy bodies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