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VATSC80200 - Foreword</w:t>
      </w:r>
    </w:p>
    <w:p>
      <w:r>
        <w:t>This guidance should be read when there is difficulty in deciding whether, for VAT purposes, there is a single supply or there are multiple supplies when a transaction between a supplier and a customer comprises different elements.</w:t>
      </w:r>
    </w:p>
    <w:p>
      <w:r>
        <w:t>It is important to note that this guidance must be applied to the particular facts of the case with all the circumstances being taken into account. There is often a fine line between single and multiple supplies; the approach set out here is intended to simplify the decision making process by identifying the principles to be applied.</w:t>
      </w:r>
    </w:p>
    <w:p>
      <w:r>
        <w:t>This policy was developed from the case law upon which we are reliant because there is no legislation dealing with the subject. The question of whether a transaction is a single supply or multiple supplies has been the subject of numerous appeals to the Tax Tribunal and this guidance also gives summaries of the more relevant case law.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