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VATSC82230 - Purple Parking (C-117/11)</w:t>
      </w:r>
    </w:p>
    <w:p>
      <w:r>
        <w:t>The ECJ was asked to rule on whether the bus transport provided as part of an airport parking service was a separate supply to that of parking. The ECJ held that there was a “single complex supply of services in which the parking element is predominant”.</w:t>
      </w:r>
    </w:p>
    <w:p>
      <w:r>
        <w:t>The ECJ made a significant point at para 31 of the judgment where the court states: “the fact that, in other circumstances, the elements in issue can be or are supplied separately is of no importance, given that possibility is inherent in the concept of a single composite transaction”. This reinforces the principle of looking at the economic reality of the situation rather than artificially separating out elements of a single supply.</w:t>
      </w:r>
    </w:p>
    <w:p>
      <w:r>
        <w:t>The ECJ also considered the application of the principle of fiscal neutrality is not a primary issue when considering the supply position because ‘a complex supply of services consisting of separate elements is not automatically similar to the supply of those elements separately’ leading to a ‘necessarily’ different tax treatment (paras 38 and 39 refer). Fiscal neutrality is only a relevant consideration when two supplies are in competition with each other.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