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VATSC83000 - Single And Multiple Supplies: Related Issues: Contents</w:t>
      </w:r>
    </w:p>
    <w:p>
      <w:r>
        <w:t>VATSC83100    Single and multiple supplies: related issues: carve outs - can a single supply have more than one VAT liability applied to it?</w:t>
      </w:r>
    </w:p>
    <w:p>
      <w:r>
        <w:t>VATSC83150    Single and multiple supplies: related issues: Talacre Beach Caravan Sales Ltd (C-251/05)</w:t>
      </w:r>
    </w:p>
    <w:p>
      <w:r>
        <w:t>VATSC83200    Single and multiple supplies: related issues: Commission v France (C-94/09)</w:t>
      </w:r>
    </w:p>
    <w:p>
      <w:r>
        <w:t>VATSC83300    Single and multiple supplies: related issues: The Linked Goods Concession</w:t>
      </w:r>
    </w:p>
    <w:p>
      <w:r>
        <w:t>VATSC83400    Single and multiple supplies: related issues: the two-part tariff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