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VATSC83400 - The Two-Part Tariff</w:t>
      </w:r>
    </w:p>
    <w:p>
      <w:r>
        <w:t>The two part tariff is a situation where there are two or more payments involving apparently different transactions at different times but amount to the purchase of a single supply. The two transactions in such cases must be part of a single supply, not optional extras or subject to availability. Also, both payments have to be made to the same entity for the concept of the two-part tariff to be valid.</w:t>
      </w:r>
    </w:p>
    <w:p>
      <w:r>
        <w:t>This concept was introduced in the case of British Railways Board (Court of Appeal 1977 STC 221) where two payments were made for a British Railways Student Card. The first payment was for the card itself, which enabled the student to buy cut-price rail tickets. The second payment was made when the actual ticket was purchased.</w:t>
      </w:r>
    </w:p>
    <w:p>
      <w:r>
        <w:t>BR argued the two payments were both for a zero-rated supply of travel rather than a supply of a right to a discount and separate supply of travel. The Court of Appeal supported this argument and held the transaction should be looked at as a whole, including both the issue of the card and the later taking of a ticket. The decision was that there were not two separate supplies of the right to a discount followed by discounted travel. Rather, the payment for the card was part payment in advance for the supply of transport, hence the term ‘two-part tariff’ for one supply.</w:t>
      </w:r>
    </w:p>
    <w:p>
      <w:r>
        <w:t>Although an old case, the decision is supported by subsequent case law such as CPP which urges you to look at the situation as a whole, leading to the conclusion in these circumstances it was not artificial to view the two elements as a single supply.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