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VATWELF2000 - Which Bodies Provide Exempt Welfare Services?</w:t>
      </w:r>
    </w:p>
    <w:p>
      <w:r>
        <w:t>VATWELF2010    Suppliers of welfare services - the law</w:t>
      </w:r>
    </w:p>
    <w:p>
      <w:r>
        <w:t>VATWELF2020    Brief background to the law</w:t>
      </w:r>
    </w:p>
    <w:p>
      <w:r>
        <w:t>VATWELF2050    What is a charity?</w:t>
      </w:r>
    </w:p>
    <w:p>
      <w:r>
        <w:t>VATWELF2060    What are Public Bodies?</w:t>
      </w:r>
    </w:p>
    <w:p>
      <w:r>
        <w:t>VATWELF2080    What are state-regulated private welfare institutions and agencies?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