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VATWELF2080 - Which Bodies Provide Exempt Welfare Services?: What Are State-Regulated Private Welfare Institutions And Agencies?: Contents</w:t>
      </w:r>
    </w:p>
    <w:p>
      <w:r>
        <w:t>VATWELF2090    The Law</w:t>
      </w:r>
    </w:p>
    <w:p>
      <w:r>
        <w:t>VATWELF2100    Institutions - the historical position</w:t>
      </w:r>
    </w:p>
    <w:p>
      <w:r>
        <w:t>VATWELF2120    Commercial welfare providers</w:t>
      </w:r>
    </w:p>
    <w:p>
      <w:r>
        <w:t>VATWELF2140    Agencies - the historic position</w:t>
      </w:r>
    </w:p>
    <w:p>
      <w:r>
        <w:t>VATWELF2160    Effective date of state-regulation</w:t>
      </w:r>
    </w:p>
    <w:p>
      <w:r>
        <w:t xml:space="preserve"> Previous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