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VATWELF2160 - Which Bodies Provide Exempt Welfare Services?: What Are State-Regulated Private Welfare Institutions And Agencies?: Effective Date Of State-Regulation</w:t>
      </w:r>
    </w:p>
    <w:p>
      <w:r>
        <w:t>HMRC originally took the view that welfare agencies became state-regulated from the time when the regulator was established and able to receive applications for registration. This view was challenged by some agencies.</w:t>
      </w:r>
    </w:p>
    <w:p>
      <w:r>
        <w:t>We now accept that a welfare provider is not state-regulated until its registration has been approved by the relevant national regulator of care. Accordingly, a welfare provider is not state-regulated for the purposes of the VAT exemption, and therefore may not exempt welfare services, during the period of time in which its application to register is being considered.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