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VATWELF4070 - Spiritual Welfare: Goods And Services Incidental To Spiritual Welfare</w:t>
      </w:r>
    </w:p>
    <w:p>
      <w:r>
        <w:t>The law</w:t>
      </w:r>
    </w:p>
    <w:p>
      <w:r>
        <w:t>Item 10 gives the conditions of the exemption for goods and services incidental to spiritual welfare.</w:t>
      </w:r>
    </w:p>
    <w:p>
      <w:r>
        <w:t>Item 10:</w:t>
      </w:r>
    </w:p>
    <w:p>
      <w:r>
        <w:t>The supply, otherwise than for profit, of goods and services incidental to the provision of spiritual welfare by a religious community to a resident member of that community in return for a subscription or other consideration paid as a condition of membership.</w:t>
      </w:r>
    </w:p>
    <w:p>
      <w:r>
        <w:t>‘Otherwise than for profit’</w:t>
      </w:r>
    </w:p>
    <w:p>
      <w:r>
        <w:t>This should not be confused with ‘significantly below cost’ used in determining whether some welfare activities are non-business. The term otherwise than for profit is interpreted as excluding a religious community which plans to achieve an excess of income over expenditure.</w:t>
      </w:r>
    </w:p>
    <w:p/>
    <w:p>
      <w:r>
        <w:t xml:space="preserve"> Previous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