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fldChar w:fldCharType="begin"/>
      </w:r>
      <w:r>
        <w:t xml:space="preserve"> TOC \o "1-3" \h \z \u </w:t>
        <w:fldChar w:fldCharType="separate"/>
      </w:r>
      <w:r>
        <w:t>(Table of contents — update field)</w:t>
        <w:fldChar w:fldCharType="end"/>
      </w:r>
    </w:p>
    <w:p>
      <w:r>
        <w:br w:type="page"/>
      </w:r>
    </w:p>
    <w:p>
      <w:pPr>
        <w:pStyle w:val="Heading1"/>
      </w:pPr>
      <w:r>
        <w:t>Chapter 1: Headings and Structure</w:t>
      </w:r>
    </w:p>
    <w:p>
      <w:pPr>
        <w:pStyle w:val="Heading2"/>
      </w:pPr>
      <w:r>
        <w:t>Section 1.1: Introduction</w:t>
      </w:r>
    </w:p>
    <w:p>
      <w:r>
        <w:t>This document tests every feature supported by the LeafPress DOCX importer. Each section exercises a different capability.</w:t>
      </w:r>
    </w:p>
    <w:p>
      <w:pPr>
        <w:pStyle w:val="Heading3"/>
      </w:pPr>
      <w:r>
        <w:t>Subsection 1.1.1: Details</w:t>
      </w:r>
    </w:p>
    <w:p>
      <w:r>
        <w:t>Content under a level-3 heading.</w:t>
      </w:r>
    </w:p>
    <w:p>
      <w:pPr>
        <w:pStyle w:val="Heading4"/>
      </w:pPr>
      <w:r>
        <w:t>Sub-subsection Deep</w:t>
      </w:r>
    </w:p>
    <w:p>
      <w:r>
        <w:t>Content under a level-4 heading.</w:t>
      </w:r>
    </w:p>
    <w:p>
      <w:pPr>
        <w:pStyle w:val="Heading1"/>
      </w:pPr>
      <w:r>
        <w:t>Chapter 2: Text Formatting</w:t>
      </w:r>
    </w:p>
    <w:p>
      <w:r>
        <w:rPr>
          <w:b/>
        </w:rPr>
        <w:t>Bold text</w:t>
      </w:r>
      <w:r>
        <w:t xml:space="preserve"> and </w:t>
      </w:r>
      <w:r>
        <w:rPr>
          <w:i/>
        </w:rPr>
        <w:t>italic text</w:t>
      </w:r>
      <w:r>
        <w:t xml:space="preserve"> and </w:t>
      </w:r>
      <w:r>
        <w:rPr>
          <w:b/>
          <w:i/>
        </w:rPr>
        <w:t>bold italic</w:t>
      </w:r>
      <w:r>
        <w:t>.</w:t>
      </w:r>
    </w:p>
    <w:p>
      <w:r>
        <w:t>Water is H</w:t>
      </w:r>
      <w:r>
        <w:rPr>
          <w:vertAlign w:val="subscript"/>
        </w:rPr>
        <w:t>2</w:t>
      </w:r>
      <w:r>
        <w:t>O. Energy: E = mc</w:t>
      </w:r>
      <w:r>
        <w:rPr>
          <w:vertAlign w:val="superscript"/>
        </w:rPr>
        <w:t>2</w:t>
      </w:r>
      <w:r>
        <w:t>.</w:t>
      </w:r>
    </w:p>
    <w:p>
      <w:r>
        <w:rPr>
          <w:rFonts w:ascii="Arial" w:hAnsi="Arial"/>
          <w:sz w:val="24"/>
        </w:rPr>
        <w:t xml:space="preserve">Arial font. </w:t>
      </w:r>
      <w:r>
        <w:rPr>
          <w:rFonts w:ascii="Times New Roman" w:hAnsi="Times New Roman"/>
          <w:sz w:val="24"/>
        </w:rPr>
        <w:t xml:space="preserve">Times New Roman font. </w:t>
      </w:r>
      <w:r>
        <w:rPr>
          <w:rFonts w:ascii="Courier New" w:hAnsi="Courier New"/>
          <w:sz w:val="20"/>
        </w:rPr>
        <w:t>Courier New (monospace).</w:t>
      </w:r>
    </w:p>
    <w:p>
      <w:r>
        <w:rPr>
          <w:color w:val="FF0000"/>
        </w:rPr>
        <w:t>Red text</w:t>
      </w:r>
      <w:r>
        <w:t xml:space="preserve">, </w:t>
      </w:r>
      <w:r>
        <w:rPr>
          <w:color w:val="0000FF"/>
        </w:rPr>
        <w:t>blue text</w:t>
      </w:r>
      <w:r>
        <w:t xml:space="preserve">, </w:t>
      </w:r>
      <w:r>
        <w:rPr>
          <w:color w:val="008000"/>
        </w:rPr>
        <w:t>green text</w:t>
      </w:r>
      <w:r>
        <w:t>.</w:t>
      </w:r>
    </w:p>
    <w:p>
      <w:r>
        <w:rPr>
          <w:strike/>
        </w:rPr>
        <w:t>Strikethrough text</w:t>
      </w:r>
      <w:r>
        <w:t xml:space="preserve"> and normal text.</w:t>
      </w:r>
    </w:p>
    <w:p>
      <w:pPr>
        <w:pStyle w:val="Heading1"/>
      </w:pPr>
      <w:r>
        <w:t>Chapter 3: Special Characters and Symbols</w:t>
      </w:r>
    </w:p>
    <w:p>
      <w:r>
        <w:t>Ampersand: &amp; | Angle brackets: &lt; &gt; | Copyright: © | Registered: ® | Trademark: ™ | Section: § | Pilcrow: ¶ | Degree: ° | Plus-minus: ±</w:t>
      </w:r>
    </w:p>
    <w:p>
      <w:r>
        <w:t>Em dash: — | En dash: – | Bullet: • | Ellipsis: … | Left quote: “ | Right quote: ”</w:t>
      </w:r>
    </w:p>
    <w:p>
      <w:r>
        <w:t>Currency: € £ ¥ ₹ | Math: √ ∞ ≠ ≤ ≥ × ÷ | Arrows: ← ↑ → ↓ ↔ ⇒</w:t>
      </w:r>
    </w:p>
    <w:p>
      <w:r>
        <w:t>Emoji: 😀 🚀 📚 ✅ ❌ 🔥 💡 🎯 📈 🔒</w:t>
      </w:r>
    </w:p>
    <w:p>
      <w:pPr>
        <w:pStyle w:val="Heading1"/>
      </w:pPr>
      <w:r>
        <w:t>Chapter 4: Lists</w:t>
      </w:r>
    </w:p>
    <w:p>
      <w:pPr>
        <w:pStyle w:val="Heading2"/>
      </w:pPr>
      <w:r>
        <w:t>Bullet List</w:t>
      </w:r>
    </w:p>
    <w:p>
      <w:pPr>
        <w:pStyle w:val="ListBullet"/>
      </w:pPr>
      <w:r>
        <w:t>First bullet item</w:t>
      </w:r>
    </w:p>
    <w:p>
      <w:pPr>
        <w:pStyle w:val="ListBullet"/>
      </w:pPr>
      <w:r>
        <w:t>Second bullet item with formatting</w:t>
      </w:r>
    </w:p>
    <w:p>
      <w:pPr>
        <w:pStyle w:val="ListBullet"/>
      </w:pPr>
      <w:r>
        <w:t>Third bullet item</w:t>
      </w:r>
    </w:p>
    <w:p>
      <w:pPr>
        <w:pStyle w:val="Heading2"/>
      </w:pPr>
      <w:r>
        <w:t>Numbered List</w:t>
      </w:r>
    </w:p>
    <w:p>
      <w:pPr>
        <w:pStyle w:val="ListNumber"/>
      </w:pPr>
      <w:r>
        <w:t>First numbered item</w:t>
      </w:r>
    </w:p>
    <w:p>
      <w:pPr>
        <w:pStyle w:val="ListNumber"/>
      </w:pPr>
      <w:r>
        <w:t>Second numbered item</w:t>
      </w:r>
    </w:p>
    <w:p>
      <w:pPr>
        <w:pStyle w:val="ListNumber"/>
      </w:pPr>
      <w:r>
        <w:t>Third numbered item</w:t>
      </w:r>
    </w:p>
    <w:p>
      <w:pPr>
        <w:pStyle w:val="Heading1"/>
      </w:pPr>
      <w:r>
        <w:t>Chapter 5: Tables</w:t>
      </w:r>
    </w:p>
    <w:p>
      <w:pPr>
        <w:pStyle w:val="Heading2"/>
      </w:pPr>
      <w:r>
        <w:t>Simple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Department</w:t>
            </w:r>
          </w:p>
        </w:tc>
        <w:tc>
          <w:tcPr>
            <w:tcW w:type="dxa" w:w="2880"/>
          </w:tcPr>
          <w:p>
            <w:r>
              <w:t>Salary</w:t>
            </w:r>
          </w:p>
        </w:tc>
      </w:tr>
      <w:tr>
        <w:tc>
          <w:tcPr>
            <w:tcW w:type="dxa" w:w="2880"/>
          </w:tcPr>
          <w:p>
            <w:r>
              <w:t>Alice</w:t>
            </w:r>
          </w:p>
        </w:tc>
        <w:tc>
          <w:tcPr>
            <w:tcW w:type="dxa" w:w="2880"/>
          </w:tcPr>
          <w:p>
            <w:r>
              <w:t>Engineering</w:t>
            </w:r>
          </w:p>
        </w:tc>
        <w:tc>
          <w:tcPr>
            <w:tcW w:type="dxa" w:w="2880"/>
          </w:tcPr>
          <w:p>
            <w:r>
              <w:t>$120,000</w:t>
            </w:r>
          </w:p>
        </w:tc>
      </w:tr>
      <w:tr>
        <w:tc>
          <w:tcPr>
            <w:tcW w:type="dxa" w:w="2880"/>
          </w:tcPr>
          <w:p>
            <w:r>
              <w:t>Bob</w:t>
            </w:r>
          </w:p>
        </w:tc>
        <w:tc>
          <w:tcPr>
            <w:tcW w:type="dxa" w:w="2880"/>
          </w:tcPr>
          <w:p>
            <w:r>
              <w:t>Marketing</w:t>
            </w:r>
          </w:p>
        </w:tc>
        <w:tc>
          <w:tcPr>
            <w:tcW w:type="dxa" w:w="2880"/>
          </w:tcPr>
          <w:p>
            <w:r>
              <w:t>$95,000</w:t>
            </w:r>
          </w:p>
        </w:tc>
      </w:tr>
      <w:tr>
        <w:tc>
          <w:tcPr>
            <w:tcW w:type="dxa" w:w="2880"/>
          </w:tcPr>
          <w:p>
            <w:r>
              <w:t>Charlie</w:t>
            </w:r>
          </w:p>
        </w:tc>
        <w:tc>
          <w:tcPr>
            <w:tcW w:type="dxa" w:w="2880"/>
          </w:tcPr>
          <w:p>
            <w:r>
              <w:t>Sales</w:t>
            </w:r>
          </w:p>
        </w:tc>
        <w:tc>
          <w:tcPr>
            <w:tcW w:type="dxa" w:w="2880"/>
          </w:tcPr>
          <w:p>
            <w:r>
              <w:t>$110,000</w:t>
            </w:r>
          </w:p>
        </w:tc>
      </w:tr>
    </w:tbl>
    <w:p>
      <w:pPr>
        <w:jc w:val="center"/>
      </w:pPr>
      <w:r>
        <w:rPr>
          <w:i/>
        </w:rPr>
        <w:t>Table 1: Employee compensation data</w:t>
      </w:r>
    </w:p>
    <w:p>
      <w:pPr>
        <w:pStyle w:val="Heading2"/>
      </w:pPr>
      <w:r>
        <w:t>Wide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Col 1</w:t>
            </w:r>
          </w:p>
        </w:tc>
        <w:tc>
          <w:tcPr>
            <w:tcW w:type="dxa" w:w="1440"/>
          </w:tcPr>
          <w:p>
            <w:r>
              <w:t>Col 2</w:t>
            </w:r>
          </w:p>
        </w:tc>
        <w:tc>
          <w:tcPr>
            <w:tcW w:type="dxa" w:w="1440"/>
          </w:tcPr>
          <w:p>
            <w:r>
              <w:t>Col 3</w:t>
            </w:r>
          </w:p>
        </w:tc>
        <w:tc>
          <w:tcPr>
            <w:tcW w:type="dxa" w:w="1440"/>
          </w:tcPr>
          <w:p>
            <w:r>
              <w:t>Col 4</w:t>
            </w:r>
          </w:p>
        </w:tc>
        <w:tc>
          <w:tcPr>
            <w:tcW w:type="dxa" w:w="1440"/>
          </w:tcPr>
          <w:p>
            <w:r>
              <w:t>Col 5</w:t>
            </w:r>
          </w:p>
        </w:tc>
        <w:tc>
          <w:tcPr>
            <w:tcW w:type="dxa" w:w="1440"/>
          </w:tcPr>
          <w:p>
            <w:r>
              <w:t>Col 6</w:t>
            </w:r>
          </w:p>
        </w:tc>
      </w:tr>
      <w:tr>
        <w:tc>
          <w:tcPr>
            <w:tcW w:type="dxa" w:w="1440"/>
          </w:tcPr>
          <w:p>
            <w:r>
              <w:t>R1C1</w:t>
            </w:r>
          </w:p>
        </w:tc>
        <w:tc>
          <w:tcPr>
            <w:tcW w:type="dxa" w:w="1440"/>
          </w:tcPr>
          <w:p>
            <w:r>
              <w:t>R1C2</w:t>
            </w:r>
          </w:p>
        </w:tc>
        <w:tc>
          <w:tcPr>
            <w:tcW w:type="dxa" w:w="1440"/>
          </w:tcPr>
          <w:p>
            <w:r>
              <w:t>R1C3</w:t>
            </w:r>
          </w:p>
        </w:tc>
        <w:tc>
          <w:tcPr>
            <w:tcW w:type="dxa" w:w="1440"/>
          </w:tcPr>
          <w:p>
            <w:r>
              <w:t>R1C4</w:t>
            </w:r>
          </w:p>
        </w:tc>
        <w:tc>
          <w:tcPr>
            <w:tcW w:type="dxa" w:w="1440"/>
          </w:tcPr>
          <w:p>
            <w:r>
              <w:t>R1C5</w:t>
            </w:r>
          </w:p>
        </w:tc>
        <w:tc>
          <w:tcPr>
            <w:tcW w:type="dxa" w:w="1440"/>
          </w:tcPr>
          <w:p>
            <w:r>
              <w:t>R1C6</w:t>
            </w:r>
          </w:p>
        </w:tc>
      </w:tr>
      <w:tr>
        <w:tc>
          <w:tcPr>
            <w:tcW w:type="dxa" w:w="1440"/>
          </w:tcPr>
          <w:p>
            <w:r>
              <w:t>R2C1</w:t>
            </w:r>
          </w:p>
        </w:tc>
        <w:tc>
          <w:tcPr>
            <w:tcW w:type="dxa" w:w="1440"/>
          </w:tcPr>
          <w:p>
            <w:r>
              <w:t>R2C2</w:t>
            </w:r>
          </w:p>
        </w:tc>
        <w:tc>
          <w:tcPr>
            <w:tcW w:type="dxa" w:w="1440"/>
          </w:tcPr>
          <w:p>
            <w:r>
              <w:t>R2C3</w:t>
            </w:r>
          </w:p>
        </w:tc>
        <w:tc>
          <w:tcPr>
            <w:tcW w:type="dxa" w:w="1440"/>
          </w:tcPr>
          <w:p>
            <w:r>
              <w:t>R2C4</w:t>
            </w:r>
          </w:p>
        </w:tc>
        <w:tc>
          <w:tcPr>
            <w:tcW w:type="dxa" w:w="1440"/>
          </w:tcPr>
          <w:p>
            <w:r>
              <w:t>R2C5</w:t>
            </w:r>
          </w:p>
        </w:tc>
        <w:tc>
          <w:tcPr>
            <w:tcW w:type="dxa" w:w="1440"/>
          </w:tcPr>
          <w:p>
            <w:r>
              <w:t>R2C6</w:t>
            </w:r>
          </w:p>
        </w:tc>
      </w:tr>
    </w:tbl>
    <w:p>
      <w:pPr>
        <w:pStyle w:val="Heading1"/>
      </w:pPr>
      <w:r>
        <w:t>Chapter 6: Hyperlinks</w:t>
      </w:r>
    </w:p>
    <w:p>
      <w:r>
        <w:t xml:space="preserve">Visit </w:t>
      </w:r>
      <w:hyperlink r:id="rId9">
        <w:r>
          <w:rPr>
            <w:color w:val="0563C1"/>
            <w:u w:val="single"/>
          </w:rPr>
          <w:t>the documentation</w:t>
        </w:r>
      </w:hyperlink>
      <w:r>
        <w:t xml:space="preserve"> for more info.</w:t>
      </w:r>
    </w:p>
    <w:p>
      <w:r>
        <w:t xml:space="preserve">See also: </w:t>
      </w:r>
      <w:hyperlink r:id="rId10">
        <w:r>
          <w:rPr>
            <w:color w:val="0563C1"/>
            <w:u w:val="single"/>
          </w:rPr>
          <w:t>GitHub repository</w:t>
        </w:r>
      </w:hyperlink>
      <w:r>
        <w:t xml:space="preserve"> and </w:t>
      </w:r>
      <w:hyperlink r:id="rId11">
        <w:r>
          <w:rPr>
            <w:color w:val="0563C1"/>
            <w:u w:val="single"/>
          </w:rPr>
          <w:t>API reference</w:t>
        </w:r>
      </w:hyperlink>
      <w:r>
        <w:t>.</w:t>
      </w:r>
    </w:p>
    <w:p>
      <w:pPr>
        <w:pStyle w:val="Heading1"/>
      </w:pPr>
      <w:r>
        <w:t>Chapter 7: Images and Pictures</w:t>
      </w: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_tmp_comp.png"/>
                    <pic:cNvPicPr/>
                  </pic:nvPicPr>
                  <pic:blipFill>
                    <a:blip r:embed="rId12"/>
                    <a:stretch>
                      <a:fillRect/>
                    </a:stretch>
                  </pic:blipFill>
                  <pic:spPr>
                    <a:xfrm>
                      <a:off x="0" y="0"/>
                      <a:ext cx="1828800" cy="1828800"/>
                    </a:xfrm>
                    <a:prstGeom prst="rect"/>
                  </pic:spPr>
                </pic:pic>
              </a:graphicData>
            </a:graphic>
          </wp:inline>
        </w:drawing>
      </w:r>
    </w:p>
    <w:p>
      <w:pPr>
        <w:jc w:val="center"/>
      </w:pPr>
      <w:r>
        <w:rPr>
          <w:i/>
        </w:rPr>
        <w:t>Figure 1: Sample embedded image</w:t>
      </w:r>
    </w:p>
    <w:p>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_tmp_comp.png"/>
                    <pic:cNvPicPr/>
                  </pic:nvPicPr>
                  <pic:blipFill>
                    <a:blip r:embed="rId12"/>
                    <a:stretch>
                      <a:fillRect/>
                    </a:stretch>
                  </pic:blipFill>
                  <pic:spPr>
                    <a:xfrm>
                      <a:off x="0" y="0"/>
                      <a:ext cx="1371600" cy="1371600"/>
                    </a:xfrm>
                    <a:prstGeom prst="rect"/>
                  </pic:spPr>
                </pic:pic>
              </a:graphicData>
            </a:graphic>
          </wp:inline>
        </w:drawing>
      </w:r>
    </w:p>
    <w:p>
      <w:pPr>
        <w:jc w:val="center"/>
      </w:pPr>
      <w:r>
        <w:rPr>
          <w:i/>
        </w:rPr>
        <w:t>Figure 2: Smaller thumbnail</w:t>
      </w:r>
    </w:p>
    <w:p>
      <w:pPr>
        <w:pStyle w:val="Heading1"/>
      </w:pPr>
      <w:r>
        <w:t>Chapter 8: Equations</w:t>
      </w:r>
    </w:p>
    <w:p>
      <w:r>
        <w:t>The following equation is inserted as an OMML math object:</w:t>
      </w:r>
    </w:p>
    <w:p>
      <w:pPr>
        <w:jc w:val="center"/>
      </w:pPr>
      <m:oMath>
        <m:r>
          <m:t>a</m:t>
        </m:r>
        <m:r>
          <m:t>²</m:t>
        </m:r>
        <m:r>
          <m:t> + </m:t>
        </m:r>
        <m:r>
          <m:t>b</m:t>
        </m:r>
        <m:r>
          <m:t>²</m:t>
        </m:r>
        <m:r>
          <m:t> = </m:t>
        </m:r>
        <m:r>
          <m:t>c</m:t>
        </m:r>
        <m:r>
          <m:t>²</m:t>
        </m:r>
      </m:oMath>
    </w:p>
    <w:p>
      <w:r>
        <w:t>Equation 1: Pythagorean theorem (a² + b² = c²)</w:t>
      </w:r>
    </w:p>
    <w:p>
      <w:pPr>
        <w:pStyle w:val="Heading1"/>
      </w:pPr>
      <w:r>
        <w:t>Chapter 9: Headers and Footers</w:t>
      </w:r>
    </w:p>
    <w:p>
      <w:r>
        <w:t>This document has headers and footers configured. The header contains the document title and the footer contains page numbers and confidentiality notice.</w:t>
      </w:r>
    </w:p>
    <w:p>
      <w:pPr>
        <w:pStyle w:val="Heading1"/>
      </w:pPr>
      <w:r>
        <w:t>Chapter 10: Section Break and Layout</w:t>
      </w:r>
    </w:p>
    <w:p>
      <w:r>
        <w:t>This section is followed by a section break with different layout properties (landscape orientation).</w:t>
      </w:r>
    </w:p>
    <w:p>
      <w:pPr>
        <w:sectPr>
          <w:headerReference w:type="default" r:id="rId13"/>
          <w:footerReference w:type="default" r:id="rId14"/>
          <w:pgSz w:w="12240" w:h="15840"/>
          <w:pgMar w:top="1440" w:right="1800" w:bottom="1440" w:left="1800" w:header="720" w:footer="720" w:gutter="0"/>
          <w:cols w:space="720"/>
          <w:docGrid w:linePitch="360"/>
        </w:sectPr>
      </w:pPr>
    </w:p>
    <w:p>
      <w:pPr>
        <w:pStyle w:val="Heading2"/>
      </w:pPr>
      <w:r>
        <w:t>Landscape Section</w:t>
      </w:r>
    </w:p>
    <w:p>
      <w:r>
        <w:t>This section is in landscape orientation after a section break. Landscape mode is useful for wide tables and diagrams.</w:t>
      </w:r>
    </w:p>
    <w:tbl>
      <w:tblPr>
        <w:tblStyle w:val="TableGrid"/>
        <w:tblW w:type="auto" w:w="0"/>
        <w:tblLook w:firstColumn="1" w:firstRow="1" w:lastColumn="0" w:lastRow="0" w:noHBand="0" w:noVBand="1" w:val="04A0"/>
      </w:tblPr>
      <w:tblGrid>
        <w:gridCol w:w="1655"/>
        <w:gridCol w:w="1655"/>
        <w:gridCol w:w="1655"/>
        <w:gridCol w:w="1655"/>
        <w:gridCol w:w="1655"/>
        <w:gridCol w:w="1655"/>
        <w:gridCol w:w="1655"/>
        <w:gridCol w:w="1655"/>
      </w:tblGrid>
      <w:tr>
        <w:tc>
          <w:tcPr>
            <w:tcW w:type="dxa" w:w="1655"/>
          </w:tcPr>
          <w:p>
            <w:r>
              <w:t>Header 1</w:t>
            </w:r>
          </w:p>
        </w:tc>
        <w:tc>
          <w:tcPr>
            <w:tcW w:type="dxa" w:w="1655"/>
          </w:tcPr>
          <w:p>
            <w:r>
              <w:t>Header 2</w:t>
            </w:r>
          </w:p>
        </w:tc>
        <w:tc>
          <w:tcPr>
            <w:tcW w:type="dxa" w:w="1655"/>
          </w:tcPr>
          <w:p>
            <w:r>
              <w:t>Header 3</w:t>
            </w:r>
          </w:p>
        </w:tc>
        <w:tc>
          <w:tcPr>
            <w:tcW w:type="dxa" w:w="1655"/>
          </w:tcPr>
          <w:p>
            <w:r>
              <w:t>Header 4</w:t>
            </w:r>
          </w:p>
        </w:tc>
        <w:tc>
          <w:tcPr>
            <w:tcW w:type="dxa" w:w="1655"/>
          </w:tcPr>
          <w:p>
            <w:r>
              <w:t>Header 5</w:t>
            </w:r>
          </w:p>
        </w:tc>
        <w:tc>
          <w:tcPr>
            <w:tcW w:type="dxa" w:w="1655"/>
          </w:tcPr>
          <w:p>
            <w:r>
              <w:t>Header 6</w:t>
            </w:r>
          </w:p>
        </w:tc>
        <w:tc>
          <w:tcPr>
            <w:tcW w:type="dxa" w:w="1655"/>
          </w:tcPr>
          <w:p>
            <w:r>
              <w:t>Header 7</w:t>
            </w:r>
          </w:p>
        </w:tc>
        <w:tc>
          <w:tcPr>
            <w:tcW w:type="dxa" w:w="1655"/>
          </w:tcPr>
          <w:p>
            <w:r>
              <w:t>Header 8</w:t>
            </w:r>
          </w:p>
        </w:tc>
      </w:tr>
      <w:tr>
        <w:tc>
          <w:tcPr>
            <w:tcW w:type="dxa" w:w="1655"/>
          </w:tcPr>
          <w:p>
            <w:r>
              <w:t>Data 1</w:t>
            </w:r>
          </w:p>
        </w:tc>
        <w:tc>
          <w:tcPr>
            <w:tcW w:type="dxa" w:w="1655"/>
          </w:tcPr>
          <w:p>
            <w:r>
              <w:t>Data 2</w:t>
            </w:r>
          </w:p>
        </w:tc>
        <w:tc>
          <w:tcPr>
            <w:tcW w:type="dxa" w:w="1655"/>
          </w:tcPr>
          <w:p>
            <w:r>
              <w:t>Data 3</w:t>
            </w:r>
          </w:p>
        </w:tc>
        <w:tc>
          <w:tcPr>
            <w:tcW w:type="dxa" w:w="1655"/>
          </w:tcPr>
          <w:p>
            <w:r>
              <w:t>Data 4</w:t>
            </w:r>
          </w:p>
        </w:tc>
        <w:tc>
          <w:tcPr>
            <w:tcW w:type="dxa" w:w="1655"/>
          </w:tcPr>
          <w:p>
            <w:r>
              <w:t>Data 5</w:t>
            </w:r>
          </w:p>
        </w:tc>
        <w:tc>
          <w:tcPr>
            <w:tcW w:type="dxa" w:w="1655"/>
          </w:tcPr>
          <w:p>
            <w:r>
              <w:t>Data 6</w:t>
            </w:r>
          </w:p>
        </w:tc>
        <w:tc>
          <w:tcPr>
            <w:tcW w:type="dxa" w:w="1655"/>
          </w:tcPr>
          <w:p>
            <w:r>
              <w:t>Data 7</w:t>
            </w:r>
          </w:p>
        </w:tc>
        <w:tc>
          <w:tcPr>
            <w:tcW w:type="dxa" w:w="1655"/>
          </w:tcPr>
          <w:p>
            <w:r>
              <w:t>Data 8</w:t>
            </w:r>
          </w:p>
        </w:tc>
      </w:tr>
    </w:tbl>
    <w:p>
      <w:pPr>
        <w:sectPr>
          <w:pgSz w:w="16838" w:h="11906" w:orient="landscape"/>
          <w:pgMar w:top="1440" w:right="1800" w:bottom="1440" w:left="1800" w:header="720" w:footer="720" w:gutter="0"/>
          <w:cols w:space="720"/>
          <w:docGrid w:linePitch="360"/>
        </w:sectPr>
      </w:pPr>
    </w:p>
    <w:p>
      <w:pPr>
        <w:pStyle w:val="Heading1"/>
      </w:pPr>
      <w:r>
        <w:t>Chapter 11: Watermark</w:t>
      </w:r>
    </w:p>
    <w:p>
      <w:r>
        <w:t>This document has a watermark configured in the header. The watermark text reads 'DRAFT'. Note: watermarks are stored as shapes in the header and may not be extracted by import.</w:t>
      </w:r>
    </w:p>
    <w:p>
      <w:pPr>
        <w:pStyle w:val="Heading1"/>
      </w:pPr>
      <w:r>
        <w:t>Chapter 12: Textboxes and Shapes</w:t>
      </w:r>
    </w:p>
    <w:p>
      <w:r>
        <w:t>The following content simulates textbox and shape elements. These are typically stored as drawing objects in the DOCX XML.</w:t>
      </w:r>
    </w:p>
    <w:p>
      <w:r>
        <w:rPr>
          <w:b/>
          <w:color w:val="000080"/>
        </w:rPr>
        <w:t>[Textbox: Important callout text here]</w:t>
      </w:r>
    </w:p>
    <w:p>
      <w:pPr>
        <w:pStyle w:val="Heading1"/>
      </w:pPr>
      <w:r>
        <w:t>Chapter 13: Footnotes</w:t>
      </w:r>
    </w:p>
    <w:p>
      <w:r>
        <w:t>Footnotes in DOCX are complex XML structures. The mammoth library extracts them during import. This paragraph references a footnote concept but actual DOCX footnotes require low-level XML manipulation.</w:t>
      </w:r>
    </w:p>
    <w:p>
      <w:pPr>
        <w:pStyle w:val="Heading1"/>
      </w:pPr>
      <w:r>
        <w:t>Chapter 14: Citations and Bibliography</w:t>
      </w:r>
    </w:p>
    <w:p>
      <w:r>
        <w:t>As demonstrated by Smith et al. (2024), document conversion is a challenging problem. Multiple approaches exist (Jones 2023; Williams 2022). The comprehensive survey by Brown (2021) covers the full landscape.</w:t>
      </w:r>
    </w:p>
    <w:p>
      <w:pPr>
        <w:pStyle w:val="Heading2"/>
      </w:pPr>
      <w:r>
        <w:t>Bibliography</w:t>
      </w:r>
    </w:p>
    <w:p>
      <w:pPr>
        <w:pStyle w:val="ListNumber"/>
      </w:pPr>
      <w:r>
        <w:t>Brown, A. (2021). A Survey of Document Conversion. Journal of Information Processing, 45(2), 112-128.</w:t>
      </w:r>
    </w:p>
    <w:p>
      <w:pPr>
        <w:pStyle w:val="ListNumber"/>
      </w:pPr>
      <w:r>
        <w:t>Jones, B. (2023). Modern Approaches to Format Translation. Proceedings of DocConf 2023, pp. 45-52.</w:t>
      </w:r>
    </w:p>
    <w:p>
      <w:pPr>
        <w:pStyle w:val="ListNumber"/>
      </w:pPr>
      <w:r>
        <w:t>Smith, C., et al. (2024). Challenges in DOCX-to-Markdown Conversion. Technical Report TR-2024-01.</w:t>
      </w:r>
    </w:p>
    <w:p>
      <w:pPr>
        <w:pStyle w:val="ListNumber"/>
      </w:pPr>
      <w:r>
        <w:t>Williams, D. (2022). Preserving Semantics Across Document Formats. ACM Computing Surveys, 54(3), Article 42.</w:t>
      </w:r>
    </w:p>
    <w:p>
      <w:pPr>
        <w:pStyle w:val="Heading1"/>
      </w:pPr>
      <w:r>
        <w:t>Chapter 15: Horizontal Rule</w:t>
      </w:r>
    </w:p>
    <w:p>
      <w:pPr>
        <w:jc w:val="center"/>
      </w:pPr>
      <w:r>
        <w:rPr>
          <w:color w:val="CCCCCC"/>
        </w:rPr>
        <w:t>──────────────────────────────────────────────────</w:t>
      </w:r>
    </w:p>
    <w:p>
      <w:r>
        <w:t>Content below the horizontal rule.</w:t>
      </w:r>
    </w:p>
    <w:p>
      <w:pPr>
        <w:pStyle w:val="Heading1"/>
      </w:pPr>
      <w:r>
        <w:t>Chapter 16: Code Blocks</w:t>
      </w:r>
    </w:p>
    <w:p>
      <w:r>
        <w:t>Code blocks can be represented via styled paragraphs. The following uses monospace font to simulate code:</w:t>
      </w:r>
    </w:p>
    <w:p>
      <w:r>
        <w:rPr>
          <w:rFonts w:ascii="Courier New" w:hAnsi="Courier New"/>
          <w:sz w:val="18"/>
        </w:rPr>
        <w:t>def fibonacci(n):</w:t>
        <w:br/>
        <w:t xml:space="preserve">    a, b = 0, 1</w:t>
        <w:br/>
        <w:t xml:space="preserve">    for _ in range(n):</w:t>
        <w:br/>
        <w:t xml:space="preserve">        yield a</w:t>
        <w:br/>
        <w:t xml:space="preserve">        a, b = b, a + b</w:t>
      </w:r>
    </w:p>
    <w:p>
      <w:r>
        <w:br w:type="page"/>
      </w:r>
    </w:p>
    <w:p>
      <w:pPr>
        <w:pStyle w:val="Heading1"/>
      </w:pPr>
      <w:r>
        <w:t>Final Section After Page Break</w:t>
      </w:r>
    </w:p>
    <w:p>
      <w:r>
        <w:t>This section appears after a page break. It verifies that page breaks do not disrupt content extraction.</w:t>
      </w:r>
    </w:p>
    <w:p>
      <w:pPr>
        <w:pStyle w:val="Heading1"/>
      </w:pPr>
      <w:r>
        <w:t>Summary</w:t>
      </w:r>
    </w:p>
    <w:p>
      <w:r>
        <w:t>This document tested: headings, bold, italic, subscript, superscript, fonts, colors, strikethrough, special characters, symbols, emoji, bullet lists, numbered lists, tables, captions, hyperlinks, images, equations, headers, footers, page numbers, page breaks, section breaks, landscape orientation, watermark, textboxes, footnotes, citations, bibliography, horizontal rules, code blocks, and table of contents.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Page </w:t>
    </w:r>
    <w:r>
      <w:fldChar w:fldCharType="begin"/>
    </w:r>
    <w:r>
      <w:t xml:space="preserve"> PAGE </w:t>
      <w:fldChar w:fldCharType="separate"/>
    </w:r>
    <w:r>
      <w:t>1</w:t>
      <w:fldChar w:fldCharType="end"/>
    </w:r>
    <w:r>
      <w:t xml:space="preserve"> — Generated by LeafPress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Comprehensive Document Test | LeafPress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docs" TargetMode="External"/><Relationship Id="rId10" Type="http://schemas.openxmlformats.org/officeDocument/2006/relationships/hyperlink" Target="https://github.com/example/repo" TargetMode="External"/><Relationship Id="rId11" Type="http://schemas.openxmlformats.org/officeDocument/2006/relationships/hyperlink" Target="https://example.com/api" TargetMode="External"/><Relationship Id="rId12"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