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  <w:b/>
          <w:color w:val="000000"/>
          <w:sz w:val="42"/>
        </w:rPr>
        <w:t>储能制氢项目单年定容测算报告</w:t>
      </w:r>
    </w:p>
    <w:p>
      <w:pPr>
        <w:spacing w:after="140" w:line="300" w:lineRule="auto"/>
      </w:pPr>
      <w:r>
        <w:rPr>
          <w:rFonts w:ascii="宋体" w:hAnsi="宋体" w:eastAsia="宋体"/>
          <w:b/>
          <w:color w:val="000000"/>
          <w:sz w:val="22"/>
        </w:rPr>
        <w:t>基准造价方案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编制日期  2026年10月15日</w:t>
      </w:r>
    </w:p>
    <w:p>
      <w:pPr>
        <w:pStyle w:val="Heading1"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一 测算目的与结论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本报告测算无光伏且不含炼化用电负荷的储能制氢系统，按一年8760小时、全年供氢30000吨、无检修工况联合优化设备容量与逐时运行。基准造价方案下，2小时与4小时储能最优容量均为零；模型年均成本为67,807.81万元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定容经过13轮迭代，最优性间隙为0.00864%，低于0.01%的停止阈值。该精度对应当前模型，不代表工程定型精度。</w:t>
      </w:r>
    </w:p>
    <w:p>
      <w:pPr>
        <w:pStyle w:val="Heading1"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二 最优设备配置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685"/>
        <w:gridCol w:w="3118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最优配置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初始投资 万元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光伏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 MWp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申报需量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274.36 MW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不计资产投资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电解槽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41,317.22 Nm³/h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49,580.66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可用储氢容量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12.48 吨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3,744.38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增压机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1,032.33 kg/h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3,096.99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2小时储能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 MWh  0 MW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4小时储能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 MWh  0 MW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连续容量优化结果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56,422.04</w:t>
            </w:r>
          </w:p>
        </w:tc>
      </w:tr>
    </w:tbl>
    <w:p>
      <w:pPr>
        <w:spacing w:after="40"/>
      </w:pP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储氢容量为可用氢气质量或标准体积，非罐体几何容积。设备容量尚未按整数台数及标准规格取整，投资口径未单列建安与配套工程。</w:t>
      </w:r>
    </w:p>
    <w:p>
      <w:pPr>
        <w:pStyle w:val="Heading1"/>
        <w:pageBreakBefore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三 年均成本与经济性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835"/>
        <w:gridCol w:w="2268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成本项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万元每年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占比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光伏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需量容量费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19,381.69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28.58%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电解槽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5,779.01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8.52%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罐体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400.83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0.59%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泵体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360.98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0.53%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储能2h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储能4h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下网电量电费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41,885.31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61.77%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67,807.81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100.00%</w:t>
            </w:r>
          </w:p>
        </w:tc>
      </w:tr>
    </w:tbl>
    <w:p>
      <w:pPr>
        <w:spacing w:after="40"/>
      </w:pP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按年供氢3000万kg计算，模型单位成本为22.60元/kg。该数值仅包含已建模的资产年化、运维、电量及需量成本，不是覆盖全部工程费用和运营费用的完整平准化制氢成本。</w:t>
      </w:r>
    </w:p>
    <w:p>
      <w:pPr>
        <w:pStyle w:val="Heading1"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四 设备造价与财务边界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592"/>
        <w:gridCol w:w="2098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本方案单位投资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使用寿命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电解槽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12,000 元/(Nm³/h)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电解槽等价交流功率口径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2,224.97 元/kW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额定初始100%负荷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储氢罐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3,000 元/kg  即 269.64 元/Nm³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25年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增压机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30,000 元/(kg/h)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2小时储能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780 元/kWh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15年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4小时储能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700 元/kWh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15年</w:t>
            </w:r>
          </w:p>
        </w:tc>
      </w:tr>
    </w:tbl>
    <w:p>
      <w:pPr>
        <w:spacing w:after="40"/>
      </w:pP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投资按资产分别年化，回报率6%、所得税率25%、残值率5%，折旧年限取15年与设备寿命的较小值；年运维费统一按初始投资2%计入。储能功率投资系数为零，不代表PCS或接入工程已被确认免费。</w:t>
      </w:r>
    </w:p>
    <w:p>
      <w:pPr>
        <w:pStyle w:val="Heading1"/>
        <w:pageBreakBefore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五 电价与运行条件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每日区间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价格 元/kWh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谷段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11:00至18:00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平段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00:00至08:00  10:00至11:00</w:t>
              <w:br/>
              <w:t>18:00至19:00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峰段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08:00至10:00  19:00至24:00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0.45</w:t>
            </w:r>
          </w:p>
        </w:tc>
      </w:tr>
    </w:tbl>
    <w:p>
      <w:pPr>
        <w:spacing w:after="40"/>
      </w:pP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使用2026年8760小时分时购电数据，各月采用相同区间，时刻为区间起点。不叠加原若羌节点电量杂费。峰段价格是内部负荷可避免的购电成本，不是上网销售收入。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需量费保留原模型参数：基础30.4元/(kW·月)，附加项为0.0815×0.4785×730，合计约706.42元/(kW·年)。该口径尚未核验新项目适用性，不因设备造价变化而调整。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当前设置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年用氢及小时需求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30000吨  无检修  3424.66 kg/h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光伏及炼化负荷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均为零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电解槽调节范围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额定产氢能力25%至120%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电解槽电耗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直流4.5467＋0.4533×负荷率  辅机0.1776 kWh/Nm³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整流及衰减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整流效率96%  电堆电耗逐时按0.8%/年增长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增压及储氢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增压2 kWh/kg  进出罐净流量不超过50%可用容量每小时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储能效率及循环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充放各92%  年放电量不超过容量700倍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电网及充放限制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只下网不上网  未强制仅平谷充峰段放</w:t>
            </w:r>
          </w:p>
        </w:tc>
      </w:tr>
    </w:tbl>
    <w:p>
      <w:pPr>
        <w:spacing w:after="40"/>
      </w:pPr>
    </w:p>
    <w:p>
      <w:pPr>
        <w:pStyle w:val="Heading1"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六 模型与求解口径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采用连续线性规划，目标为购电费、需量费及各资产年化成本之和。逐时保持电力平衡与氢气物料平衡，储氢及储能均在年度首末闭环。电解槽电耗用切平面包络近似，不含整数台数、启停和爬坡。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green为零时完全跳过绿电占比约束与缺口变量，允许正常购电补足储能损耗。储能所有小时含首小时均满足电量不超过容量；充放功率和不超过PCS容量，但并非严格整数互斥。Benders主问题选择容量，年度子问题优化运行并返回割平面。</w:t>
      </w:r>
    </w:p>
    <w:p>
      <w:pPr>
        <w:pStyle w:val="Heading1"/>
        <w:pageBreakBefore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七 储能结果解释与适用边界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不配置储能是在本方案电价、需量费、设备造价及供氢要求下的优化选择。储能需承担效率损耗及年化投资，新增充电需量可能带来较高费用；电解槽错峰生产与储氢罐亦可转移购电时段，构成电储能的替代路径。不能将单年零储能结论推广到其他电价、设备价格或供氢工况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原运行日志的固定其他容量增量分析显示，增加50 MWh的2小时或4小时储能，年度电费约节省42万元或40万元，低于相应年化投资约520万元或467万元。该测试未重新优化其余容量，不能作为全局临界造价。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零容量边界的对偶值可能不唯一，不能直接外推为新增储能的实际收益；对偶折算临界造价仅用于诊断。判断储能经济性应以重新联合定容和可行调度比较为准。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建安、土建、管线、升压接入、土地、设计及预备费未单列；单位投资是否已包含这些项目仍未确认。水耗、药剂、人工细分、堆体更换及营运资金等亦未独立建模。原参考报告储氢运维写1%，本次执行代码为2%，本报告以代码实际口径为准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本报告未进行十年后期电耗与检修校核，未生成新的全年逐时调度底稿或典型工况图。单年结果可用于初步比较，设备规格及长期供氢保障仍须进一步核验。</w:t>
      </w:r>
    </w:p>
    <w:p>
      <w:pPr>
        <w:pStyle w:val="Heading1"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八 结果来源与保存状态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参考文件为《轮台绿电制氢项目定容测算报告》，沿用其结果汇总、模型、边界及经济性分析的内容组织方式；原报告的光伏、炼化、原节点电价及十年工况不作为本报告结论。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源结果标识为 _bd1y_trk_offnone。本结果包包含原始日志与检查点、设备配置及投资CSV、年均成本CSV、测算结果汇总JSON、输入与代码快照及SHA256校验清单。代码快照记录归档时状态，实际算例参数以结果汇总和本报告为准。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原程序全流程完成并保存容量与逐年结果。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宋体" w:hAnsi="宋体" w:eastAsia="宋体"/>
        <w:b w:val="0"/>
        <w:color w:val="000000"/>
        <w:sz w:val="18"/>
      </w:rPr>
      <w:t>储能制氢项目  单年无检修工况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