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color w:val="000000"/>
          <w:sz w:val="42"/>
        </w:rPr>
        <w:t>储能制氢项目单年定容测算报告</w:t>
      </w:r>
    </w:p>
    <w:p>
      <w:pPr>
        <w:spacing w:after="140" w:line="300" w:lineRule="auto"/>
      </w:pPr>
      <w:r>
        <w:rPr>
          <w:rFonts w:ascii="宋体" w:hAnsi="宋体" w:eastAsia="宋体"/>
          <w:b/>
          <w:color w:val="000000"/>
          <w:sz w:val="22"/>
        </w:rPr>
        <w:t>非储能设备造价降低百分之四十方案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编制日期  2026年10月15日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一 测算目的与结论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本报告测算无光伏且不含炼化用电负荷的储能制氢系统，按一年8760小时、全年供氢30000吨、无检修工况联合优化设备容量与逐时运行。非储能设备造价降低百分之四十方案下，2小时与4小时储能最优容量均为零；模型年均成本为65,065.41万元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定容经过27轮迭代，最优性间隙为0.00404%，低于0.01%的停止阈值。该精度对应当前模型，不代表工程定型精度。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二 最优设备配置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118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最优配置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初始投资 万元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MWp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申报需量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265.78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不计资产投资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48,807.68 Nm³/h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35,141.53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可用储氢容量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11.64 吨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2,094.77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增压机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969.65 kg/h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1,745.37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2小时储能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MWh  0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4小时储能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 MWh  0 MW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连续容量优化结果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38,981.67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储氢容量为可用氢气质量或标准体积，非罐体几何容积。设备容量尚未按整数台数及标准规格取整，投资口径未单列建安与配套工程。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三 年均成本与经济性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268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成本项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万元每年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占比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需量容量费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18,775.01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28.86%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4,096.02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6.30%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罐体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224.24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0.34%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泵体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203.44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0.31%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储能2h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储能4h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0.00%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下网电量电费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41,766.71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64.19%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65,065.41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100.00%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按年供氢3000万kg计算，模型单位成本为21.69元/kg。该数值仅包含已建模的资产年化、运维、电量及需量成本，不是覆盖全部工程费用和运营费用的完整平准化制氢成本。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四 设备造价与财务边界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592"/>
        <w:gridCol w:w="2098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本方案单位投资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使用寿命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7,200 元/(Nm³/h)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电解槽等价交流功率口径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1,334.98 元/kW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额定初始100%负荷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储氢罐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1,800 元/kg  即 161.78 元/Nm³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25年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增压机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18,000 元/(kg/h)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2小时储能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780 元/kWh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4小时储能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700 元/kWh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15年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投资按资产分别年化，回报率6%、所得税率25%、残值率5%，折旧年限取15年与设备寿命的较小值；年运维费统一按初始投资2%计入。储能功率投资系数为零，不代表PCS或接入工程已被确认免费。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五 电价与运行条件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每日区间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价格 元/kWh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谷段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11:00至18:00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平段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00:00至08:00  10:00至11:00</w:t>
              <w:br/>
              <w:t>18:00至19:00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0.28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峰段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08:00至10:00  19:00至24:00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0.45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使用2026年8760小时分时购电数据，各月采用相同区间，时刻为区间起点。不叠加原若羌节点电量杂费。峰段价格是内部负荷可避免的购电成本，不是上网销售收入。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需量费保留原模型参数：基础30.4元/(kW·月)，附加项为0.0815×0.4785×730，合计约706.42元/(kW·年)。该口径尚未核验新项目适用性，不因设备造价变化而调整。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2"/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当前设置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年用氢及小时需求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30000吨  无检修  3424.66 kg/h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光伏及炼化负荷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均为零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电解槽调节范围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额定产氢能力25%至120%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电解槽电耗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直流4.5467＋0.4533×负荷率  辅机0.1776 kWh/Nm³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整流及衰减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整流效率96%  电堆电耗逐时按0.8%/年增长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增压及储氢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增压2 kWh/kg  进出罐净流量不超过50%可用容量每小时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储能效率及循环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充放各92%  年放电量不超过容量700倍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电网及充放限制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只下网不上网  未强制仅平谷充峰段放</w:t>
            </w:r>
          </w:p>
        </w:tc>
      </w:tr>
    </w:tbl>
    <w:p>
      <w:pPr>
        <w:spacing w:after="40"/>
      </w:pP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六 模型与求解口径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采用连续线性规划，目标为购电费、需量费及各资产年化成本之和。逐时保持电力平衡与氢气物料平衡，储氢及储能均在年度首末闭环。电解槽电耗用切平面包络近似，不含整数台数、启停和爬坡。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green为零时完全跳过绿电占比约束与缺口变量，允许正常购电补足储能损耗。储能所有小时含首小时均满足电量不超过容量；充放功率和不超过PCS容量，但并非严格整数互斥。Benders主问题选择容量，年度子问题优化运行并返回割平面。</w:t>
      </w:r>
    </w:p>
    <w:p>
      <w:pPr>
        <w:pStyle w:val="Heading1"/>
        <w:pageBreakBefore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七 储能结果解释与适用边界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与原造价单年方案相比，年均成本减少2,742.40万元，降幅4.04%。原造价电解槽为41,317.22 Nm³/h、需量为274.36 MW；降价后电解槽容量增加、需量降低，但仍不配置电储能。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不配置储能是在本方案电价、需量费、设备造价及供氢要求下的优化选择。储能需承担效率损耗及年化投资，新增充电需量可能带来较高费用；电解槽错峰生产与储氢罐亦可转移购电时段，构成电储能的替代路径。不能将单年零储能结论推广到其他电价、设备价格或供氢工况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本方案定容已在第27轮达到精度条件，最佳配置来自第26轮。随后储能增量经济性复算长时间未返回，按用户要求终止。未生成原程序最终容量与逐年文件，因此本报告从最佳检查点与对应割平面恢复容量和成本，不引用未完成的差分收益或未保存的逐时调度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零容量边界的对偶值可能不唯一，不能直接外推为新增储能的实际收益；对偶折算临界造价仅用于诊断。判断储能经济性应以重新联合定容和可行调度比较为准。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建安、土建、管线、升压接入、土地、设计及预备费未单列；单位投资是否已包含这些项目仍未确认。水耗、药剂、人工细分、堆体更换及营运资金等亦未独立建模。原参考报告储氢运维写1%，本次执行代码为2%，本报告以代码实际口径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本报告未进行十年后期电耗与检修校核，未生成新的全年逐时调度底稿或典型工况图。单年结果可用于初步比较，设备规格及长期供氢保障仍须进一步核验。</w:t>
      </w:r>
    </w:p>
    <w:p>
      <w:pPr>
        <w:pStyle w:val="Heading1"/>
        <w:spacing w:before="200" w:after="140"/>
      </w:pPr>
      <w:r>
        <w:rPr>
          <w:rFonts w:ascii="黑体" w:hAnsi="黑体" w:eastAsia="黑体"/>
          <w:b/>
          <w:color w:val="000000"/>
          <w:sz w:val="28"/>
        </w:rPr>
        <w:t>八 结果来源与保存状态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参考文件为《轮台绿电制氢项目定容测算报告》，沿用其结果汇总、模型、边界及经济性分析的内容组织方式；原报告的光伏、炼化、原节点电价及十年工况不作为本报告结论。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源结果标识为 _bd1y_trk_bx1_offnone。本结果包包含原始日志与检查点、设备配置及投资CSV、年均成本CSV、测算结果汇总JSON、输入与代码快照及SHA256校验清单。代码快照记录归档时状态，实际算例参数以结果汇总和本报告为准。</w:t>
      </w:r>
    </w:p>
    <w:p>
      <w:pPr>
        <w:spacing w:after="140" w:line="300" w:lineRule="auto"/>
      </w:pPr>
      <w:r>
        <w:rPr>
          <w:rFonts w:ascii="宋体" w:hAnsi="宋体" w:eastAsia="宋体"/>
          <w:b w:val="0"/>
          <w:color w:val="000000"/>
          <w:sz w:val="22"/>
        </w:rPr>
        <w:t>保存状态为主优化已收敛且附加后处理人为终止；恢复文件明确标识归档来源，不伪装为原程序完整输出。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8"/>
      </w:rPr>
      <w:t>储能制氢项目  单年无检修工况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