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</w:pPr>
    </w:p>
    <w:p>
      <w:pPr>
        <w:snapToGrid w:val="0"/>
        <w:jc w:val="center"/>
        <w:rPr>
          <w:rFonts w:ascii="微软雅黑" w:hAnsi="微软雅黑" w:cs="Times New Roman"/>
          <w:b/>
          <w:sz w:val="64"/>
          <w:szCs w:val="64"/>
        </w:rPr>
      </w:pPr>
      <w:r>
        <w:rPr>
          <w:rFonts w:hint="eastAsia" w:ascii="微软雅黑" w:hAnsi="微软雅黑" w:cs="Times New Roman"/>
          <w:b/>
          <w:sz w:val="64"/>
          <w:szCs w:val="64"/>
          <w:lang w:val="en-US" w:eastAsia="zh-CN"/>
        </w:rPr>
        <w:t>商城对接银行配置</w:t>
      </w:r>
    </w:p>
    <w:p>
      <w:pPr>
        <w:snapToGrid w:val="0"/>
        <w:jc w:val="center"/>
        <w:rPr>
          <w:rFonts w:ascii="微软雅黑" w:hAnsi="微软雅黑"/>
          <w:b/>
          <w:sz w:val="48"/>
        </w:rPr>
      </w:pPr>
      <w:r>
        <w:rPr>
          <w:rFonts w:hint="eastAsia" w:ascii="微软雅黑" w:hAnsi="微软雅黑" w:cs="Times New Roman"/>
          <w:b/>
          <w:sz w:val="64"/>
          <w:szCs w:val="64"/>
        </w:rPr>
        <w:t>说明书</w:t>
      </w: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jc w:val="center"/>
        <w:rPr>
          <w:rFonts w:ascii="微软雅黑" w:hAnsi="微软雅黑"/>
          <w:b/>
          <w:sz w:val="48"/>
        </w:rPr>
      </w:pPr>
    </w:p>
    <w:p>
      <w:pPr>
        <w:snapToGrid w:val="0"/>
        <w:spacing w:line="288" w:lineRule="auto"/>
        <w:jc w:val="center"/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>深圳兆日科技股份有限公司</w:t>
      </w:r>
    </w:p>
    <w:p>
      <w:pPr>
        <w:widowControl/>
        <w:snapToGrid w:val="0"/>
        <w:spacing w:line="288" w:lineRule="auto"/>
        <w:jc w:val="center"/>
        <w:rPr>
          <w:rFonts w:ascii="微软雅黑" w:hAnsi="微软雅黑"/>
          <w:sz w:val="36"/>
        </w:rPr>
      </w:pPr>
      <w:r>
        <w:rPr>
          <w:rFonts w:ascii="微软雅黑" w:hAnsi="微软雅黑"/>
          <w:sz w:val="24"/>
        </w:rPr>
        <w:t>20</w:t>
      </w:r>
      <w:r>
        <w:rPr>
          <w:rFonts w:hint="eastAsia" w:ascii="微软雅黑" w:hAnsi="微软雅黑"/>
          <w:sz w:val="24"/>
        </w:rPr>
        <w:t>2</w:t>
      </w:r>
      <w:r>
        <w:rPr>
          <w:rFonts w:ascii="微软雅黑" w:hAnsi="微软雅黑"/>
          <w:sz w:val="24"/>
        </w:rPr>
        <w:t>3.</w:t>
      </w:r>
      <w:r>
        <w:rPr>
          <w:rFonts w:hint="eastAsia" w:ascii="微软雅黑" w:hAnsi="微软雅黑"/>
          <w:sz w:val="24"/>
          <w:lang w:val="en-US" w:eastAsia="zh-CN"/>
        </w:rPr>
        <w:t>12</w:t>
      </w:r>
      <w:r>
        <w:rPr>
          <w:rFonts w:ascii="微软雅黑" w:hAnsi="微软雅黑"/>
          <w:sz w:val="36"/>
        </w:rPr>
        <w:br w:type="page"/>
      </w:r>
    </w:p>
    <w:p>
      <w:pPr>
        <w:spacing w:line="360" w:lineRule="auto"/>
        <w:jc w:val="center"/>
        <w:rPr>
          <w:rFonts w:ascii="微软雅黑" w:hAnsi="微软雅黑"/>
          <w:b/>
          <w:bCs/>
          <w:sz w:val="22"/>
        </w:rPr>
      </w:pPr>
      <w:r>
        <w:rPr>
          <w:rFonts w:hint="eastAsia" w:ascii="微软雅黑" w:hAnsi="微软雅黑"/>
          <w:b/>
          <w:bCs/>
          <w:sz w:val="22"/>
        </w:rPr>
        <w:t>文档修订记录</w:t>
      </w:r>
    </w:p>
    <w:tbl>
      <w:tblPr>
        <w:tblStyle w:val="9"/>
        <w:tblW w:w="521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853"/>
        <w:gridCol w:w="2553"/>
        <w:gridCol w:w="1230"/>
        <w:gridCol w:w="814"/>
        <w:gridCol w:w="814"/>
        <w:gridCol w:w="956"/>
        <w:gridCol w:w="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ind w:right="180" w:firstLine="90" w:firstLineChars="5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编号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ind w:right="18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章节</w:t>
            </w:r>
          </w:p>
          <w:p>
            <w:pPr>
              <w:spacing w:line="288" w:lineRule="auto"/>
              <w:ind w:right="180" w:firstLine="90" w:firstLineChars="50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名称</w:t>
            </w: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3"/>
              <w:widowControl w:val="0"/>
              <w:spacing w:before="0" w:beforeAutospacing="0" w:after="0" w:afterAutospacing="0" w:line="288" w:lineRule="auto"/>
              <w:textAlignment w:val="auto"/>
              <w:rPr>
                <w:rFonts w:hint="default" w:ascii="微软雅黑" w:hAnsi="微软雅黑" w:eastAsia="微软雅黑"/>
                <w:kern w:val="2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2"/>
                <w:sz w:val="18"/>
                <w:szCs w:val="18"/>
              </w:rPr>
              <w:t>修订内容简述</w:t>
            </w: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日期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修订前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版本号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修订后</w:t>
            </w:r>
          </w:p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版本号</w:t>
            </w: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修订人</w:t>
            </w: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88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ind w:right="42" w:rightChars="20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初稿</w:t>
            </w: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ascii="微软雅黑" w:hAnsi="微软雅黑"/>
                <w:sz w:val="18"/>
                <w:szCs w:val="18"/>
              </w:rPr>
              <w:t>20</w:t>
            </w:r>
            <w:r>
              <w:rPr>
                <w:rFonts w:hint="eastAsia" w:ascii="微软雅黑" w:hAnsi="微软雅黑"/>
                <w:sz w:val="18"/>
                <w:szCs w:val="18"/>
              </w:rPr>
              <w:t>2</w:t>
            </w:r>
            <w:r>
              <w:rPr>
                <w:rFonts w:ascii="微软雅黑" w:hAnsi="微软雅黑"/>
                <w:sz w:val="18"/>
                <w:szCs w:val="18"/>
              </w:rPr>
              <w:t>3/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12</w:t>
            </w:r>
            <w:r>
              <w:rPr>
                <w:rFonts w:ascii="微软雅黑" w:hAnsi="微软雅黑"/>
                <w:sz w:val="18"/>
                <w:szCs w:val="18"/>
              </w:rPr>
              <w:t>/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07</w:t>
            </w: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V1.</w:t>
            </w:r>
            <w:r>
              <w:rPr>
                <w:rFonts w:ascii="微软雅黑" w:hAnsi="微软雅黑"/>
                <w:sz w:val="18"/>
                <w:szCs w:val="18"/>
              </w:rPr>
              <w:t>0</w:t>
            </w: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CN"/>
              </w:rPr>
              <w:t>杨光</w:t>
            </w: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 w:ascii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4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69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>
      <w:pPr>
        <w:spacing w:line="288" w:lineRule="auto"/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注：对该文件内容增加、删除或修改均需填写此变更记录，详细记载变更信息，以保证其可追溯性。初建版本号从V1.0开始，之后每次以0.1递增，遇规模较大的升级，则直接跳至2.0或3.0，以此类推。</w:t>
      </w:r>
    </w:p>
    <w:p>
      <w:pPr>
        <w:spacing w:line="288" w:lineRule="auto"/>
        <w:rPr>
          <w:rFonts w:ascii="微软雅黑" w:hAnsi="微软雅黑" w:cstheme="majorBidi"/>
          <w:color w:val="2E54A1" w:themeColor="accent1" w:themeShade="BF"/>
          <w:kern w:val="0"/>
          <w:sz w:val="36"/>
          <w:szCs w:val="32"/>
        </w:rPr>
      </w:pPr>
      <w:r>
        <w:rPr>
          <w:rFonts w:hint="eastAsia" w:ascii="微软雅黑" w:hAnsi="微软雅黑"/>
          <w:sz w:val="18"/>
          <w:szCs w:val="18"/>
        </w:rPr>
        <w:t>文件名的命名规则：项目编号+项目名称+版本号</w:t>
      </w:r>
    </w:p>
    <w:p>
      <w:pPr>
        <w:widowControl/>
        <w:jc w:val="left"/>
        <w:rPr>
          <w:rFonts w:ascii="微软雅黑" w:hAnsi="微软雅黑" w:cstheme="majorBidi"/>
          <w:color w:val="2E54A1" w:themeColor="accent1" w:themeShade="BF"/>
          <w:kern w:val="0"/>
          <w:sz w:val="36"/>
          <w:szCs w:val="32"/>
        </w:rPr>
      </w:pPr>
      <w:r>
        <w:rPr>
          <w:rFonts w:ascii="微软雅黑" w:hAnsi="微软雅黑" w:cstheme="majorBidi"/>
          <w:color w:val="2E54A1" w:themeColor="accent1" w:themeShade="BF"/>
          <w:kern w:val="0"/>
          <w:sz w:val="36"/>
          <w:szCs w:val="32"/>
        </w:rPr>
        <w:br w:type="page"/>
      </w:r>
    </w:p>
    <w:sdt>
      <w:sdtPr>
        <w:rPr>
          <w:rFonts w:asciiTheme="minorHAnsi" w:hAnsiTheme="minorHAnsi"/>
          <w:b w:val="0"/>
          <w:bCs w:val="0"/>
          <w:kern w:val="2"/>
          <w:sz w:val="21"/>
          <w:szCs w:val="22"/>
          <w:lang w:val="zh-CN"/>
        </w:rPr>
        <w:id w:val="-372926772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</w:pPr>
          <w:bookmarkStart w:id="0" w:name="_Toc4695"/>
          <w:r>
            <w:rPr>
              <w:lang w:val="zh-CN"/>
            </w:rPr>
            <w:t>目录</w:t>
          </w:r>
          <w:bookmarkEnd w:id="0"/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_Toc4695 </w:instrText>
          </w:r>
          <w:r>
            <w:fldChar w:fldCharType="separate"/>
          </w:r>
          <w:r>
            <w:rPr>
              <w:rFonts w:hint="eastAsia"/>
            </w:rPr>
            <w:t xml:space="preserve">1 </w:t>
          </w:r>
          <w:r>
            <w:rPr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_Toc4695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_Toc22718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 渠道配置</w:t>
          </w:r>
          <w:r>
            <w:tab/>
          </w:r>
          <w:r>
            <w:fldChar w:fldCharType="begin"/>
          </w:r>
          <w:r>
            <w:instrText xml:space="preserve"> PAGEREF _Toc22718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 新增渠道</w:t>
          </w:r>
          <w:r>
            <w:tab/>
          </w:r>
          <w:r>
            <w:fldChar w:fldCharType="begin"/>
          </w:r>
          <w:r>
            <w:instrText xml:space="preserve"> PAGEREF _Toc6578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_Toc29645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2.1.1 登录平台管理后台</w:t>
          </w:r>
          <w:r>
            <w:tab/>
          </w:r>
          <w:r>
            <w:fldChar w:fldCharType="begin"/>
          </w:r>
          <w:r>
            <w:instrText xml:space="preserve"> PAGEREF _Toc29645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2.1.2 新增渠道</w:t>
          </w:r>
          <w:r>
            <w:tab/>
          </w:r>
          <w:r>
            <w:fldChar w:fldCharType="begin"/>
          </w:r>
          <w:r>
            <w:instrText xml:space="preserve"> PAGEREF _Toc16961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_Toc25993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 支付方式配置</w:t>
          </w:r>
          <w:r>
            <w:tab/>
          </w:r>
          <w:r>
            <w:fldChar w:fldCharType="begin"/>
          </w:r>
          <w:r>
            <w:instrText xml:space="preserve"> PAGEREF _Toc25993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2.3 配置渠道</w:t>
          </w:r>
          <w:r>
            <w:tab/>
          </w:r>
          <w:r>
            <w:fldChar w:fldCharType="begin"/>
          </w:r>
          <w:r>
            <w:instrText xml:space="preserve"> PAGEREF _Toc8440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 页面装修</w:t>
          </w:r>
          <w:r>
            <w:tab/>
          </w:r>
          <w:r>
            <w:fldChar w:fldCharType="begin"/>
          </w:r>
          <w:r>
            <w:instrText xml:space="preserve"> PAGEREF _Toc19267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 选择渠道</w:t>
          </w:r>
          <w:r>
            <w:tab/>
          </w:r>
          <w:r>
            <w:fldChar w:fldCharType="begin"/>
          </w:r>
          <w:r>
            <w:instrText xml:space="preserve"> PAGEREF _Toc4428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3.2 tabbar装修</w:t>
          </w:r>
          <w:r>
            <w:tab/>
          </w:r>
          <w:r>
            <w:fldChar w:fldCharType="begin"/>
          </w:r>
          <w:r>
            <w:instrText xml:space="preserve"> PAGEREF _Toc8288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3.3 首页装修</w:t>
          </w:r>
          <w:r>
            <w:tab/>
          </w:r>
          <w:r>
            <w:fldChar w:fldCharType="begin"/>
          </w:r>
          <w:r>
            <w:instrText xml:space="preserve"> PAGEREF _Toc32715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_Toc27402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3.4 专题页装修</w:t>
          </w:r>
          <w:r>
            <w:tab/>
          </w:r>
          <w:r>
            <w:fldChar w:fldCharType="begin"/>
          </w:r>
          <w:r>
            <w:instrText xml:space="preserve"> PAGEREF _Toc27402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asciiTheme="minorHAnsi" w:hAnsiTheme="minorHAnsi"/>
              <w:b w:val="0"/>
              <w:bCs w:val="0"/>
              <w:kern w:val="2"/>
              <w:sz w:val="21"/>
              <w:szCs w:val="22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bidi w:val="0"/>
        <w:rPr>
          <w:rFonts w:hint="default" w:eastAsia="微软雅黑" w:asciiTheme="minorHAnsi" w:hAnsiTheme="minorHAnsi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  <w:bookmarkStart w:id="12" w:name="_GoBack"/>
      <w:bookmarkEnd w:id="12"/>
    </w:p>
    <w:p>
      <w:pPr>
        <w:tabs>
          <w:tab w:val="left" w:pos="48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2718"/>
      <w:r>
        <w:rPr>
          <w:rFonts w:hint="eastAsia"/>
          <w:lang w:val="en-US" w:eastAsia="zh-CN"/>
        </w:rPr>
        <w:t>渠道配置</w:t>
      </w:r>
      <w:bookmarkEnd w:id="1"/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前置条件：1、银行现场项目经理在伴正事提交对接申请单；2、运维人员将运将keycloak等配置完成</w:t>
      </w:r>
    </w:p>
    <w:p>
      <w:pPr>
        <w:pStyle w:val="4"/>
        <w:numPr>
          <w:ilvl w:val="1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2" w:name="_Toc6578"/>
      <w:r>
        <w:rPr>
          <w:rFonts w:hint="eastAsia"/>
          <w:lang w:val="en-US" w:eastAsia="zh-CN"/>
        </w:rPr>
        <w:t>新增渠道</w:t>
      </w:r>
      <w:bookmarkEnd w:id="2"/>
    </w:p>
    <w:p>
      <w:pPr>
        <w:pStyle w:val="5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3" w:name="_Toc29645"/>
      <w:r>
        <w:rPr>
          <w:rFonts w:hint="eastAsia"/>
          <w:lang w:val="en-US" w:eastAsia="zh-CN"/>
        </w:rPr>
        <w:t>登录平台管理后台</w:t>
      </w:r>
      <w:bookmarkEnd w:id="3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用户使用用户名密码登录BBC商城平台管理后台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02530" cy="3014980"/>
            <wp:effectExtent l="0" t="0" r="762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76"/>
        <w:gridCol w:w="5220"/>
        <w:gridCol w:w="1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7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环境</w:t>
            </w:r>
          </w:p>
        </w:tc>
        <w:tc>
          <w:tcPr>
            <w:tcW w:w="522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访问地址</w:t>
            </w:r>
          </w:p>
        </w:tc>
        <w:tc>
          <w:tcPr>
            <w:tcW w:w="192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用户名/密码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7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UAT沙盒</w:t>
            </w:r>
          </w:p>
        </w:tc>
        <w:tc>
          <w:tcPr>
            <w:tcW w:w="522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https://bplus-uat.sinosun.com/mallbbcg2bank/static/admin/index.html</w:t>
            </w:r>
          </w:p>
        </w:tc>
        <w:tc>
          <w:tcPr>
            <w:tcW w:w="192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admin/111111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28" w:hRule="atLeast"/>
        </w:trPr>
        <w:tc>
          <w:tcPr>
            <w:tcW w:w="137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PROD生产</w:t>
            </w:r>
          </w:p>
        </w:tc>
        <w:tc>
          <w:tcPr>
            <w:tcW w:w="522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https://cloud.sinosun.com:9443/mallbbcg2bank/static/admin/index.html</w:t>
            </w:r>
          </w:p>
        </w:tc>
        <w:tc>
          <w:tcPr>
            <w:tcW w:w="192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申请账号与密码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4" w:name="_Toc16961"/>
      <w:r>
        <w:rPr>
          <w:rFonts w:hint="eastAsia"/>
          <w:lang w:val="en-US" w:eastAsia="zh-CN"/>
        </w:rPr>
        <w:t>新增渠道</w:t>
      </w:r>
      <w:bookmarkEnd w:id="4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登录平台后台以后，功能切换到运维配置-渠道管理，点击新建渠道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88945"/>
            <wp:effectExtent l="0" t="0" r="571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按照银行申请单中的渠道id与渠道名称新增渠道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894965"/>
            <wp:effectExtent l="0" t="0" r="825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接入配置需要行方提供对应的配置地址</w:t>
      </w:r>
    </w:p>
    <w:p>
      <w:pPr>
        <w:pStyle w:val="4"/>
        <w:numPr>
          <w:ilvl w:val="1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5" w:name="_Toc25993"/>
      <w:r>
        <w:rPr>
          <w:rFonts w:hint="eastAsia"/>
          <w:lang w:val="en-US" w:eastAsia="zh-CN"/>
        </w:rPr>
        <w:t>支付方式配置</w:t>
      </w:r>
      <w:bookmarkEnd w:id="5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支付宝与微信两种支付方式，不需要额外配置，需要配置的是老板付、公款闪付等支付方式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功能切换到运维配置-支付配置-老板付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679065"/>
            <wp:effectExtent l="0" t="0" r="825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点击新建后，根据申请单中的配置，填写老板付配置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953385"/>
            <wp:effectExtent l="0" t="0" r="6985" b="184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79625"/>
            <wp:effectExtent l="0" t="0" r="10160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填写老板付配置过程中，有一项老板付接入配置（下列配置都是B+提供，不依赖银行），该项数据直接参考已有配置即可，该配置项与秘钥类型有关，在参考配置时必须要秘钥类型一致，也可以参考《公款转账、公款闪付配置说明.xlsx》文档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xcel.Sheet.12" ShapeID="_x0000_i1034" DrawAspect="Icon" ObjectID="_1468075725" r:id="rId10">
            <o:LockedField>false</o:LockedField>
          </o:OLEObject>
        </w:object>
      </w:r>
    </w:p>
    <w:p>
      <w:pPr>
        <w:pStyle w:val="4"/>
        <w:numPr>
          <w:ilvl w:val="1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6" w:name="_Toc8440"/>
      <w:r>
        <w:rPr>
          <w:rFonts w:hint="eastAsia"/>
          <w:lang w:val="en-US" w:eastAsia="zh-CN"/>
        </w:rPr>
        <w:t>配置渠道</w:t>
      </w:r>
      <w:bookmarkEnd w:id="6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支付方式配置完成后，就可以新建渠道，将功能切换到系统配置-渠道配置-渠道管理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624455"/>
            <wp:effectExtent l="0" t="0" r="635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点击新增渠道，填写渠道相关信息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984500"/>
            <wp:effectExtent l="0" t="0" r="8890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新增过程中，需要注意以下几点：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渠道全称需要选择刚才在运维配置中新建的渠道，渠道简称建议与渠道全称一致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支付方式按照名称选择刚才创建的支付方式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店铺信息选择“京东企业购”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服务协议填写分为两种情况，一种是需求上没有要求在进入商城时弹出服务协议，则不填写，另外一种需求上要求进入商城时弹出服务协议，则将《“商云”用户协议(商城&amp;商旅).pdf》上传即可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66pt;width:72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33" DrawAspect="Icon" ObjectID="_1468075726" r:id="rId14">
            <o:LockedField>false</o:LockedField>
          </o:OLEObject>
        </w:objec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19267"/>
      <w:r>
        <w:rPr>
          <w:rFonts w:hint="eastAsia"/>
          <w:lang w:val="en-US" w:eastAsia="zh-CN"/>
        </w:rPr>
        <w:t>页面装修</w:t>
      </w:r>
      <w:bookmarkEnd w:id="7"/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渠道配置完成后，开始页面装修</w:t>
      </w:r>
    </w:p>
    <w:p>
      <w:pPr>
        <w:pStyle w:val="4"/>
        <w:numPr>
          <w:ilvl w:val="1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8" w:name="_Toc4428"/>
      <w:r>
        <w:rPr>
          <w:rFonts w:hint="eastAsia"/>
          <w:lang w:val="en-US" w:eastAsia="zh-CN"/>
        </w:rPr>
        <w:t>选择渠道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将功能切换到装修-手机装修-装修，选择刚才创建的渠道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950720"/>
            <wp:effectExtent l="0" t="0" r="1524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9" w:name="_Toc8288"/>
      <w:r>
        <w:rPr>
          <w:rFonts w:hint="eastAsia"/>
          <w:lang w:val="en-US" w:eastAsia="zh-CN"/>
        </w:rPr>
        <w:t>tabbar装修</w:t>
      </w:r>
      <w:bookmarkEnd w:id="9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功能切到到tabbar装修，根据银行需求对tabbar进行装修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434080"/>
            <wp:effectExtent l="0" t="0" r="635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装修tabbr时需要注意以下几点：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1、在配置tabbar时，有设置专题页的选择，如果不选择专题页则渲染配置的路由，如果设置了专题页则会渲染专题页内容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2、如果在其他环境或者其他渠道已经配置过功能一样的tabbar，则可以使用tabbar导入导出功能，在已经配置好tabbar的渠道将tabbar导出，然后在需要配置的渠道将tabbar文件导入即可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0" w:name="_Toc32715"/>
      <w:r>
        <w:rPr>
          <w:rFonts w:hint="eastAsia"/>
          <w:lang w:val="en-US" w:eastAsia="zh-CN"/>
        </w:rPr>
        <w:t>3.3 首页装修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tabbar配置完成后，配置首页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将功能切换到首页装修，点击新建首页，填写对应的页面名称与页面id</w:t>
      </w:r>
    </w:p>
    <w:p>
      <w:r>
        <w:drawing>
          <wp:inline distT="0" distB="0" distL="114300" distR="114300">
            <wp:extent cx="5262880" cy="2263775"/>
            <wp:effectExtent l="0" t="0" r="139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新建完成后，对该条记录点击装修</w:t>
      </w:r>
    </w:p>
    <w:p>
      <w:r>
        <w:drawing>
          <wp:inline distT="0" distB="0" distL="114300" distR="114300">
            <wp:extent cx="5269230" cy="3190240"/>
            <wp:effectExtent l="0" t="0" r="762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首页的装修也可以使用导入导出功能，在装修页面直接导入其他渠道已经装修好的首页，如果环境（例如一个UAT环境一个PROD环境）不一样，需要自行调整跳转链接，将跳转链接修改为当前环境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注意点：首页的装修必须先创建页面，然后在装修页面进行导入导出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27402"/>
      <w:r>
        <w:rPr>
          <w:rFonts w:hint="eastAsia"/>
          <w:lang w:val="en-US" w:eastAsia="zh-CN"/>
        </w:rPr>
        <w:t>3.4 专题页装修</w:t>
      </w:r>
      <w:bookmarkEnd w:id="11"/>
    </w:p>
    <w:p>
      <w:pPr>
        <w:tabs>
          <w:tab w:val="left" w:pos="48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首页装修完成后，功能切换到专题装修</w:t>
      </w:r>
    </w:p>
    <w:p>
      <w:pPr>
        <w:tabs>
          <w:tab w:val="left" w:pos="483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专题装修可以批量导出专题页供其他渠道使用，如果环境不同（例如一个UAT环境一个PROD环境）在批量导入专题页后，需要将跳转链接地址修改为当前环境</w:t>
      </w:r>
    </w:p>
    <w:p>
      <w:pPr>
        <w:tabs>
          <w:tab w:val="left" w:pos="4838"/>
        </w:tabs>
        <w:bidi w:val="0"/>
        <w:jc w:val="left"/>
      </w:pPr>
    </w:p>
    <w:p>
      <w:pPr>
        <w:tabs>
          <w:tab w:val="left" w:pos="4838"/>
        </w:tabs>
        <w:bidi w:val="0"/>
        <w:jc w:val="left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70500" cy="323786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新建单个专题页</w:t>
      </w:r>
    </w:p>
    <w:p>
      <w:pPr>
        <w:tabs>
          <w:tab w:val="left" w:pos="4838"/>
        </w:tabs>
        <w:bidi w:val="0"/>
        <w:jc w:val="left"/>
      </w:pPr>
      <w:r>
        <w:drawing>
          <wp:inline distT="0" distB="0" distL="114300" distR="114300">
            <wp:extent cx="5263515" cy="2671445"/>
            <wp:effectExtent l="0" t="0" r="1333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3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找到新建的专题页，点击装修进行装修，在该装修页面也可以直接导入已经装修好的页面</w:t>
      </w:r>
    </w:p>
    <w:p>
      <w:pPr>
        <w:tabs>
          <w:tab w:val="left" w:pos="4838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202305"/>
            <wp:effectExtent l="0" t="0" r="1016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3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483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批量导入装修数据</w:t>
      </w:r>
    </w:p>
    <w:p>
      <w:pPr>
        <w:tabs>
          <w:tab w:val="left" w:pos="4838"/>
        </w:tabs>
        <w:bidi w:val="0"/>
        <w:jc w:val="left"/>
      </w:pPr>
      <w:r>
        <w:drawing>
          <wp:inline distT="0" distB="0" distL="114300" distR="114300">
            <wp:extent cx="5267325" cy="3147060"/>
            <wp:effectExtent l="0" t="0" r="9525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838"/>
        </w:tabs>
        <w:bidi w:val="0"/>
        <w:jc w:val="lef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批量导出装修数据</w:t>
      </w:r>
    </w:p>
    <w:p>
      <w:pPr>
        <w:tabs>
          <w:tab w:val="left" w:pos="4838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157855"/>
            <wp:effectExtent l="0" t="0" r="1460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9C3D0D"/>
    <w:multiLevelType w:val="multilevel"/>
    <w:tmpl w:val="3D9C3D0D"/>
    <w:lvl w:ilvl="0" w:tentative="0">
      <w:start w:val="1"/>
      <w:numFmt w:val="decimal"/>
      <w:pStyle w:val="2"/>
      <w:suff w:val="space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suff w:val="space"/>
      <w:lvlText w:val="%1.%2.%3"/>
      <w:lvlJc w:val="left"/>
      <w:pPr>
        <w:ind w:left="425" w:hanging="425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suff w:val="space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suff w:val="space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suff w:val="space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>
    <w:nsid w:val="53738654"/>
    <w:multiLevelType w:val="singleLevel"/>
    <w:tmpl w:val="5373865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AwZTYwMDE0YjJiM2Y4ZDcxNDI0ZTA1YjUzNmI5YWMifQ=="/>
  </w:docVars>
  <w:rsids>
    <w:rsidRoot w:val="00000000"/>
    <w:rsid w:val="026E54F6"/>
    <w:rsid w:val="05B90594"/>
    <w:rsid w:val="08F15CA2"/>
    <w:rsid w:val="0A0F4BBF"/>
    <w:rsid w:val="0B3C2AF9"/>
    <w:rsid w:val="0EB91DF8"/>
    <w:rsid w:val="13CC30E5"/>
    <w:rsid w:val="13EB77C9"/>
    <w:rsid w:val="13F54E26"/>
    <w:rsid w:val="154047C7"/>
    <w:rsid w:val="18D71108"/>
    <w:rsid w:val="1A814E2F"/>
    <w:rsid w:val="1B0F4628"/>
    <w:rsid w:val="1CA47DEB"/>
    <w:rsid w:val="1D5D7D6E"/>
    <w:rsid w:val="21396981"/>
    <w:rsid w:val="23290F37"/>
    <w:rsid w:val="252E69A3"/>
    <w:rsid w:val="352E7D40"/>
    <w:rsid w:val="356D564D"/>
    <w:rsid w:val="3B650F46"/>
    <w:rsid w:val="3C4165AB"/>
    <w:rsid w:val="40851762"/>
    <w:rsid w:val="40E028BD"/>
    <w:rsid w:val="42075675"/>
    <w:rsid w:val="42FE0D52"/>
    <w:rsid w:val="461A0599"/>
    <w:rsid w:val="4B0A6E5A"/>
    <w:rsid w:val="52AB4326"/>
    <w:rsid w:val="5463310B"/>
    <w:rsid w:val="57A001D2"/>
    <w:rsid w:val="589075B2"/>
    <w:rsid w:val="5BE23B18"/>
    <w:rsid w:val="5F2D1C58"/>
    <w:rsid w:val="619927CD"/>
    <w:rsid w:val="6666492F"/>
    <w:rsid w:val="678A1908"/>
    <w:rsid w:val="69AD4AF1"/>
    <w:rsid w:val="6BD03F0A"/>
    <w:rsid w:val="792151BF"/>
    <w:rsid w:val="797E6997"/>
    <w:rsid w:val="79E1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numPr>
        <w:ilvl w:val="0"/>
        <w:numId w:val="1"/>
      </w:numPr>
      <w:snapToGrid w:val="0"/>
      <w:spacing w:before="156" w:beforeLines="50" w:after="156" w:afterLines="50" w:line="312" w:lineRule="auto"/>
      <w:jc w:val="left"/>
      <w:outlineLvl w:val="0"/>
    </w:pPr>
    <w:rPr>
      <w:rFonts w:ascii="微软雅黑" w:hAnsi="微软雅黑"/>
      <w:b/>
      <w:bCs/>
      <w:kern w:val="44"/>
      <w:sz w:val="36"/>
      <w:szCs w:val="2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样式"/>
    <w:basedOn w:val="1"/>
    <w:qFormat/>
    <w:uiPriority w:val="0"/>
    <w:pPr>
      <w:spacing w:line="360" w:lineRule="auto"/>
      <w:ind w:firstLine="480" w:firstLineChars="200"/>
    </w:pPr>
    <w:rPr>
      <w:rFonts w:ascii="微软雅黑" w:hAnsi="微软雅黑"/>
      <w:sz w:val="24"/>
    </w:rPr>
  </w:style>
  <w:style w:type="paragraph" w:styleId="6">
    <w:name w:val="toc 3"/>
    <w:basedOn w:val="1"/>
    <w:next w:val="1"/>
    <w:unhideWhenUsed/>
    <w:qFormat/>
    <w:uiPriority w:val="39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7">
    <w:name w:val="toc 1"/>
    <w:basedOn w:val="1"/>
    <w:next w:val="1"/>
    <w:unhideWhenUsed/>
    <w:qFormat/>
    <w:uiPriority w:val="39"/>
    <w:pPr>
      <w:spacing w:before="120" w:after="120" w:line="240" w:lineRule="atLeast"/>
      <w:jc w:val="left"/>
    </w:pPr>
    <w:rPr>
      <w:rFonts w:cstheme="minorHAnsi"/>
      <w:b/>
      <w:bCs/>
      <w:caps/>
      <w:sz w:val="20"/>
      <w:szCs w:val="20"/>
    </w:rPr>
  </w:style>
  <w:style w:type="paragraph" w:styleId="8">
    <w:name w:val="toc 2"/>
    <w:basedOn w:val="1"/>
    <w:next w:val="1"/>
    <w:unhideWhenUsed/>
    <w:qFormat/>
    <w:uiPriority w:val="39"/>
    <w:pPr>
      <w:ind w:left="210"/>
      <w:jc w:val="left"/>
    </w:pPr>
    <w:rPr>
      <w:rFonts w:cstheme="minorHAnsi"/>
      <w:smallCaps/>
      <w:sz w:val="20"/>
      <w:szCs w:val="20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3">
    <w:name w:val="xl5512344"/>
    <w:basedOn w:val="1"/>
    <w:qFormat/>
    <w:uiPriority w:val="0"/>
    <w:pPr>
      <w:widowControl/>
      <w:spacing w:before="100" w:beforeAutospacing="1" w:after="100" w:afterAutospacing="1"/>
      <w:jc w:val="center"/>
      <w:textAlignment w:val="bottom"/>
    </w:pPr>
    <w:rPr>
      <w:rFonts w:hint="eastAsia" w:ascii="宋体" w:hAnsi="宋体" w:eastAsia="宋体" w:cs="Times New Roman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emf"/><Relationship Id="rId14" Type="http://schemas.openxmlformats.org/officeDocument/2006/relationships/oleObject" Target="embeddings/oleObject2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2023-12-07T09:12:13Z</dcterms:created>
  <dc:creator>Administrator</dc:creator>
  <cp:lastModifiedBy>阳光</cp:lastModifiedBy>
  <dcterms:modified xsi:type="dcterms:W3CDTF">2023-12-07T10:04:17Z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FBE208ABB3914360BE81BF3094CC1C65_12</vt:lpwstr>
  </property>
</Properties>
</file>