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  <w:rPr>
          <w:rFonts w:ascii="微软雅黑" w:hAnsi="微软雅黑" w:cs="Times New Roman"/>
          <w:b/>
          <w:sz w:val="64"/>
          <w:szCs w:val="64"/>
        </w:rPr>
      </w:pPr>
      <w:r>
        <w:rPr>
          <w:rFonts w:hint="eastAsia" w:ascii="微软雅黑" w:hAnsi="微软雅黑" w:cs="Times New Roman"/>
          <w:b/>
          <w:sz w:val="64"/>
          <w:szCs w:val="64"/>
          <w:lang w:val="en-US" w:eastAsia="zh-CN"/>
        </w:rPr>
        <w:t>商旅对接银行配置</w:t>
      </w:r>
    </w:p>
    <w:p>
      <w:pPr>
        <w:snapToGrid w:val="0"/>
        <w:jc w:val="center"/>
        <w:rPr>
          <w:rFonts w:ascii="微软雅黑" w:hAnsi="微软雅黑"/>
          <w:b/>
          <w:sz w:val="48"/>
        </w:rPr>
      </w:pPr>
      <w:r>
        <w:rPr>
          <w:rFonts w:hint="eastAsia" w:ascii="微软雅黑" w:hAnsi="微软雅黑" w:cs="Times New Roman"/>
          <w:b/>
          <w:sz w:val="64"/>
          <w:szCs w:val="64"/>
        </w:rPr>
        <w:t>说明书</w:t>
      </w: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spacing w:line="288" w:lineRule="auto"/>
        <w:jc w:val="center"/>
        <w:rPr>
          <w:rFonts w:ascii="微软雅黑" w:hAnsi="微软雅黑"/>
          <w:sz w:val="24"/>
        </w:rPr>
      </w:pPr>
      <w:r>
        <w:rPr>
          <w:rFonts w:ascii="微软雅黑" w:hAnsi="微软雅黑"/>
          <w:sz w:val="24"/>
        </w:rPr>
        <w:t>深圳兆日科技股份有限公司</w:t>
      </w:r>
    </w:p>
    <w:p>
      <w:pPr>
        <w:widowControl/>
        <w:snapToGrid w:val="0"/>
        <w:spacing w:line="288" w:lineRule="auto"/>
        <w:jc w:val="center"/>
        <w:rPr>
          <w:rFonts w:ascii="微软雅黑" w:hAnsi="微软雅黑"/>
          <w:sz w:val="36"/>
        </w:rPr>
      </w:pPr>
      <w:r>
        <w:rPr>
          <w:rFonts w:ascii="微软雅黑" w:hAnsi="微软雅黑"/>
          <w:sz w:val="24"/>
        </w:rPr>
        <w:t>20</w:t>
      </w:r>
      <w:r>
        <w:rPr>
          <w:rFonts w:hint="eastAsia" w:ascii="微软雅黑" w:hAnsi="微软雅黑"/>
          <w:sz w:val="24"/>
        </w:rPr>
        <w:t>2</w:t>
      </w:r>
      <w:r>
        <w:rPr>
          <w:rFonts w:ascii="微软雅黑" w:hAnsi="微软雅黑"/>
          <w:sz w:val="24"/>
        </w:rPr>
        <w:t>3.</w:t>
      </w:r>
      <w:r>
        <w:rPr>
          <w:rFonts w:hint="eastAsia" w:ascii="微软雅黑" w:hAnsi="微软雅黑"/>
          <w:sz w:val="24"/>
          <w:lang w:val="en-US" w:eastAsia="zh-CN"/>
        </w:rPr>
        <w:t>12</w:t>
      </w:r>
      <w:r>
        <w:rPr>
          <w:rFonts w:ascii="微软雅黑" w:hAnsi="微软雅黑"/>
          <w:sz w:val="36"/>
        </w:rPr>
        <w:br w:type="page"/>
      </w:r>
    </w:p>
    <w:p>
      <w:pPr>
        <w:spacing w:line="360" w:lineRule="auto"/>
        <w:jc w:val="center"/>
        <w:rPr>
          <w:rFonts w:ascii="微软雅黑" w:hAnsi="微软雅黑"/>
          <w:b/>
          <w:bCs/>
          <w:sz w:val="22"/>
        </w:rPr>
      </w:pPr>
      <w:r>
        <w:rPr>
          <w:rFonts w:hint="eastAsia" w:ascii="微软雅黑" w:hAnsi="微软雅黑"/>
          <w:b/>
          <w:bCs/>
          <w:sz w:val="22"/>
        </w:rPr>
        <w:t>文档修订记录</w:t>
      </w:r>
    </w:p>
    <w:tbl>
      <w:tblPr>
        <w:tblStyle w:val="9"/>
        <w:tblW w:w="5211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853"/>
        <w:gridCol w:w="2553"/>
        <w:gridCol w:w="1230"/>
        <w:gridCol w:w="814"/>
        <w:gridCol w:w="814"/>
        <w:gridCol w:w="956"/>
        <w:gridCol w:w="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ind w:right="180" w:firstLine="90" w:firstLineChars="50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编号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ind w:right="180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章节</w:t>
            </w:r>
          </w:p>
          <w:p>
            <w:pPr>
              <w:spacing w:line="288" w:lineRule="auto"/>
              <w:ind w:right="180" w:firstLine="90" w:firstLineChars="50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名称</w:t>
            </w: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3"/>
              <w:widowControl w:val="0"/>
              <w:spacing w:before="0" w:beforeAutospacing="0" w:after="0" w:afterAutospacing="0" w:line="288" w:lineRule="auto"/>
              <w:textAlignment w:val="auto"/>
              <w:rPr>
                <w:rFonts w:hint="default" w:ascii="微软雅黑" w:hAnsi="微软雅黑" w:eastAsia="微软雅黑"/>
                <w:kern w:val="2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2"/>
                <w:sz w:val="18"/>
                <w:szCs w:val="18"/>
              </w:rPr>
              <w:t>修订内容简述</w:t>
            </w: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</w:t>
            </w:r>
          </w:p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日期</w:t>
            </w: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修订前</w:t>
            </w:r>
          </w:p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版本号</w:t>
            </w: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修订后</w:t>
            </w:r>
          </w:p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版本号</w:t>
            </w: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修订人</w:t>
            </w: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批准人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ind w:right="42" w:rightChars="20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初稿</w:t>
            </w: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ascii="微软雅黑" w:hAnsi="微软雅黑"/>
                <w:sz w:val="18"/>
                <w:szCs w:val="18"/>
              </w:rPr>
              <w:t>20</w:t>
            </w:r>
            <w:r>
              <w:rPr>
                <w:rFonts w:hint="eastAsia" w:ascii="微软雅黑" w:hAnsi="微软雅黑"/>
                <w:sz w:val="18"/>
                <w:szCs w:val="18"/>
              </w:rPr>
              <w:t>2</w:t>
            </w:r>
            <w:r>
              <w:rPr>
                <w:rFonts w:ascii="微软雅黑" w:hAnsi="微软雅黑"/>
                <w:sz w:val="18"/>
                <w:szCs w:val="18"/>
              </w:rPr>
              <w:t>3/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12</w:t>
            </w:r>
            <w:r>
              <w:rPr>
                <w:rFonts w:ascii="微软雅黑" w:hAnsi="微软雅黑"/>
                <w:sz w:val="18"/>
                <w:szCs w:val="18"/>
              </w:rPr>
              <w:t>/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07</w:t>
            </w: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V1.</w:t>
            </w:r>
            <w:r>
              <w:rPr>
                <w:rFonts w:ascii="微软雅黑" w:hAnsi="微软雅黑"/>
                <w:sz w:val="18"/>
                <w:szCs w:val="18"/>
              </w:rPr>
              <w:t>0</w:t>
            </w: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杨光</w:t>
            </w: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>
      <w:pPr>
        <w:spacing w:line="288" w:lineRule="auto"/>
        <w:rPr>
          <w:rFonts w:ascii="微软雅黑" w:hAnsi="微软雅黑"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>注：对该文件内容增加、删除或修改均需填写此变更记录，详细记载变更信息，以保证其可追溯性。初建版本号从V1.0开始，之后每次以0.1递增，遇规模较大的升级，则直接跳至2.0或3.0，以此类推。</w:t>
      </w:r>
    </w:p>
    <w:p>
      <w:pPr>
        <w:spacing w:line="288" w:lineRule="auto"/>
        <w:rPr>
          <w:rFonts w:ascii="微软雅黑" w:hAnsi="微软雅黑" w:cstheme="majorBidi"/>
          <w:color w:val="2E54A1" w:themeColor="accent1" w:themeShade="BF"/>
          <w:kern w:val="0"/>
          <w:sz w:val="36"/>
          <w:szCs w:val="32"/>
        </w:rPr>
      </w:pPr>
      <w:r>
        <w:rPr>
          <w:rFonts w:hint="eastAsia" w:ascii="微软雅黑" w:hAnsi="微软雅黑"/>
          <w:sz w:val="18"/>
          <w:szCs w:val="18"/>
        </w:rPr>
        <w:t>文件名的命名规则：项目编号+项目名称+版本号</w:t>
      </w:r>
    </w:p>
    <w:p>
      <w:pPr>
        <w:widowControl/>
        <w:jc w:val="left"/>
        <w:rPr>
          <w:rFonts w:ascii="微软雅黑" w:hAnsi="微软雅黑" w:cstheme="majorBidi"/>
          <w:color w:val="2E54A1" w:themeColor="accent1" w:themeShade="BF"/>
          <w:kern w:val="0"/>
          <w:sz w:val="36"/>
          <w:szCs w:val="32"/>
        </w:rPr>
      </w:pPr>
      <w:r>
        <w:rPr>
          <w:rFonts w:ascii="微软雅黑" w:hAnsi="微软雅黑" w:cstheme="majorBidi"/>
          <w:color w:val="2E54A1" w:themeColor="accent1" w:themeShade="BF"/>
          <w:kern w:val="0"/>
          <w:sz w:val="36"/>
          <w:szCs w:val="32"/>
        </w:rPr>
        <w:br w:type="page"/>
      </w:r>
    </w:p>
    <w:sdt>
      <w:sdtPr>
        <w:rPr>
          <w:rFonts w:asciiTheme="minorHAnsi" w:hAnsiTheme="minorHAnsi"/>
          <w:b w:val="0"/>
          <w:bCs w:val="0"/>
          <w:kern w:val="2"/>
          <w:sz w:val="21"/>
          <w:szCs w:val="22"/>
          <w:lang w:val="zh-CN"/>
        </w:rPr>
        <w:id w:val="-372926772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"/>
          </w:pPr>
          <w:bookmarkStart w:id="0" w:name="_Toc6124"/>
          <w:r>
            <w:rPr>
              <w:lang w:val="zh-CN"/>
            </w:rPr>
            <w:t>目录</w:t>
          </w:r>
          <w:bookmarkEnd w:id="0"/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_Toc6124 </w:instrText>
          </w:r>
          <w:r>
            <w:fldChar w:fldCharType="separate"/>
          </w:r>
          <w:r>
            <w:rPr>
              <w:rFonts w:hint="eastAsia"/>
            </w:rPr>
            <w:t xml:space="preserve">1 </w:t>
          </w:r>
          <w:r>
            <w:rPr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_Toc6124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_Toc10827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 渠道配置</w:t>
          </w:r>
          <w:r>
            <w:tab/>
          </w:r>
          <w:r>
            <w:fldChar w:fldCharType="begin"/>
          </w:r>
          <w:r>
            <w:instrText xml:space="preserve"> PAGEREF _Toc10827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 支付方式配置</w:t>
          </w:r>
          <w:r>
            <w:tab/>
          </w:r>
          <w:r>
            <w:fldChar w:fldCharType="begin"/>
          </w:r>
          <w:r>
            <w:instrText xml:space="preserve"> PAGEREF _Toc25176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_Toc30049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2.1.1 登录运维管理平台</w:t>
          </w:r>
          <w:r>
            <w:tab/>
          </w:r>
          <w:r>
            <w:fldChar w:fldCharType="begin"/>
          </w:r>
          <w:r>
            <w:instrText xml:space="preserve"> PAGEREF _Toc30049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_Toc12452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2.1.2 新增支付方式</w:t>
          </w:r>
          <w:r>
            <w:tab/>
          </w:r>
          <w:r>
            <w:fldChar w:fldCharType="begin"/>
          </w:r>
          <w:r>
            <w:instrText xml:space="preserve"> PAGEREF _Toc12452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_Toc28658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 配置渠道</w:t>
          </w:r>
          <w:r>
            <w:tab/>
          </w:r>
          <w:r>
            <w:fldChar w:fldCharType="begin"/>
          </w:r>
          <w:r>
            <w:instrText xml:space="preserve"> PAGEREF _Toc28658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2.2.1 登录运营管理平台</w:t>
          </w:r>
          <w:r>
            <w:tab/>
          </w:r>
          <w:r>
            <w:fldChar w:fldCharType="begin"/>
          </w:r>
          <w:r>
            <w:instrText xml:space="preserve"> PAGEREF _Toc13363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2.1.2 新增渠道</w:t>
          </w:r>
          <w:r>
            <w:tab/>
          </w:r>
          <w:r>
            <w:fldChar w:fldCharType="begin"/>
          </w:r>
          <w:r>
            <w:instrText xml:space="preserve"> PAGEREF _Toc8348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asciiTheme="minorHAnsi" w:hAnsiTheme="minorHAnsi"/>
              <w:b w:val="0"/>
              <w:bCs w:val="0"/>
              <w:kern w:val="2"/>
              <w:sz w:val="21"/>
              <w:szCs w:val="22"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bidi w:val="0"/>
        <w:rPr>
          <w:rFonts w:hint="default" w:eastAsia="微软雅黑" w:asciiTheme="minorHAnsi" w:hAnsiTheme="minorHAnsi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483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10827"/>
      <w:r>
        <w:rPr>
          <w:rFonts w:hint="eastAsia"/>
          <w:lang w:val="en-US" w:eastAsia="zh-CN"/>
        </w:rPr>
        <w:t>渠道配置</w:t>
      </w:r>
      <w:bookmarkEnd w:id="1"/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前置条件：1、银行现场项目经理在伴正事提交对接申请单；2、运维人员将运将keycloak等配置完成</w:t>
      </w:r>
    </w:p>
    <w:p>
      <w:pPr>
        <w:pStyle w:val="4"/>
        <w:numPr>
          <w:ilvl w:val="1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2" w:name="_Toc25176"/>
      <w:r>
        <w:rPr>
          <w:rFonts w:hint="eastAsia"/>
          <w:lang w:val="en-US" w:eastAsia="zh-CN"/>
        </w:rPr>
        <w:t>支付方式配置</w:t>
      </w:r>
      <w:bookmarkEnd w:id="2"/>
    </w:p>
    <w:p>
      <w:pPr>
        <w:pStyle w:val="5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bookmarkStart w:id="3" w:name="_Toc30049"/>
      <w:r>
        <w:rPr>
          <w:rFonts w:hint="eastAsia"/>
          <w:lang w:val="en-US" w:eastAsia="zh-CN"/>
        </w:rPr>
        <w:t>登录运维管理平台</w:t>
      </w:r>
      <w:bookmarkEnd w:id="3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用户使用域账号登录商旅运维管理平台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583180"/>
            <wp:effectExtent l="0" t="0" r="1270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6"/>
        <w:gridCol w:w="5220"/>
        <w:gridCol w:w="1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环境</w:t>
            </w:r>
          </w:p>
        </w:tc>
        <w:tc>
          <w:tcPr>
            <w:tcW w:w="52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访问地址</w:t>
            </w:r>
          </w:p>
        </w:tc>
        <w:tc>
          <w:tcPr>
            <w:tcW w:w="192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用户名/密码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UAT沙盒</w:t>
            </w:r>
          </w:p>
        </w:tc>
        <w:tc>
          <w:tcPr>
            <w:tcW w:w="5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https://bplus-uat.sinosun.com/travel/static/maintenance/index.html#/mainane</w:t>
            </w:r>
          </w:p>
        </w:tc>
        <w:tc>
          <w:tcPr>
            <w:tcW w:w="192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域账号/密码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</w:trPr>
        <w:tc>
          <w:tcPr>
            <w:tcW w:w="137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PROD生产</w:t>
            </w:r>
          </w:p>
        </w:tc>
        <w:tc>
          <w:tcPr>
            <w:tcW w:w="5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https://cloud.sinosun.com:6443/travel/static/maintenance/index.html#/mainane</w:t>
            </w:r>
          </w:p>
        </w:tc>
        <w:tc>
          <w:tcPr>
            <w:tcW w:w="192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域账号/密码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4" w:name="_Toc12452"/>
      <w:r>
        <w:rPr>
          <w:rFonts w:hint="eastAsia"/>
          <w:lang w:val="en-US" w:eastAsia="zh-CN"/>
        </w:rPr>
        <w:t>新增支付方式</w:t>
      </w:r>
      <w:bookmarkEnd w:id="4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登录运维平台后，功能切换到运维配置-对公支付配置，点击对公支付配置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2008505"/>
            <wp:effectExtent l="0" t="0" r="1270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新建对公支付配置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241675"/>
            <wp:effectExtent l="0" t="0" r="10160" b="1587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支付宝与微信两种支付方式，不需要额外配置，需要配置的是老板付、公款闪付等支付方式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根据申请单中的配置，填写对公支付信息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3505835"/>
            <wp:effectExtent l="0" t="0" r="13970" b="1841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69085"/>
            <wp:effectExtent l="0" t="0" r="6350" b="1206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填写对公支付配置过程中，在配置下方有模块为：下列配置都是B+提供，不依赖银行，该模块内的数据直接参考已有配置即可，该配置项与秘钥类型有关，在参考配置时必须要秘钥类型一致，也可以参考《公款转账、公款闪付配置说明.xlsx》文档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9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bookmarkStart w:id="5" w:name="_Toc28658"/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1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配置渠道</w:t>
      </w:r>
      <w:bookmarkEnd w:id="5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支付方式配置完成后，就可以新建渠道，新增渠道在运营管理平台中</w:t>
      </w:r>
    </w:p>
    <w:p>
      <w:pPr>
        <w:pStyle w:val="5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bookmarkStart w:id="6" w:name="_Toc13363"/>
      <w:r>
        <w:rPr>
          <w:rFonts w:hint="eastAsia"/>
          <w:lang w:val="en-US" w:eastAsia="zh-CN"/>
        </w:rPr>
        <w:t>登录运营管理平台</w:t>
      </w:r>
      <w:bookmarkEnd w:id="6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使用域账号登录运营管理平台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583180"/>
            <wp:effectExtent l="0" t="0" r="12700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6"/>
        <w:gridCol w:w="5220"/>
        <w:gridCol w:w="1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环境</w:t>
            </w:r>
          </w:p>
        </w:tc>
        <w:tc>
          <w:tcPr>
            <w:tcW w:w="52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访问地址</w:t>
            </w:r>
          </w:p>
        </w:tc>
        <w:tc>
          <w:tcPr>
            <w:tcW w:w="192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用户名/密码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UAT沙盒</w:t>
            </w:r>
          </w:p>
        </w:tc>
        <w:tc>
          <w:tcPr>
            <w:tcW w:w="5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https://bplus-uat.sinosun.com/travel/static/operation/index.html#/</w:t>
            </w:r>
          </w:p>
        </w:tc>
        <w:tc>
          <w:tcPr>
            <w:tcW w:w="192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域账号/密码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</w:trPr>
        <w:tc>
          <w:tcPr>
            <w:tcW w:w="137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PROD生产</w:t>
            </w:r>
          </w:p>
        </w:tc>
        <w:tc>
          <w:tcPr>
            <w:tcW w:w="5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https://cloud.sinosun.com:9443/travel/static/operation/index.html#/</w:t>
            </w:r>
          </w:p>
        </w:tc>
        <w:tc>
          <w:tcPr>
            <w:tcW w:w="192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域账号/密码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7" w:name="_Toc8348"/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8" w:name="_GoBack"/>
      <w:bookmarkEnd w:id="8"/>
      <w:r>
        <w:rPr>
          <w:rFonts w:hint="eastAsia"/>
          <w:lang w:val="en-US" w:eastAsia="zh-CN"/>
        </w:rPr>
        <w:t>2.1.2 新增渠道</w:t>
      </w:r>
      <w:bookmarkEnd w:id="7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功能切换到运营管理-渠道管理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2513965"/>
            <wp:effectExtent l="0" t="0" r="15875" b="63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点击新增渠道，根据申请单中内容填写渠道相关信息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3375660"/>
            <wp:effectExtent l="0" t="0" r="15240" b="1524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118235"/>
            <wp:effectExtent l="0" t="0" r="6985" b="571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593340"/>
            <wp:effectExtent l="0" t="0" r="4445" b="165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新增过程中，需要注意以下几点：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keyCloakClientId、keyCloakClientSecret、token接口地址该三项为B+访问行方接口需要授权时的选项，现阶段只在发票上报业务中使用到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支付方式按照名称选择刚才创建的支付方式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店铺信息选择“京东企业购”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服务授权协议填写分为两种情况，一种是需求上没有要求在进入商城时弹出服务协议，则不填写，另外一种需求上要求进入商城时弹出服务协议，则将《“商云”用户协议(商城&amp;商旅).pdf》上传即可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5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5、协议配置(厦门银行等渠道下单展示)，此处配置的协议是在下单时给用户提示，与第4步中的用户进入商旅给出的授权协议不同，该协议内容需要行方提供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tabs>
          <w:tab w:val="left" w:pos="4838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9C3D0D"/>
    <w:multiLevelType w:val="multilevel"/>
    <w:tmpl w:val="3D9C3D0D"/>
    <w:lvl w:ilvl="0" w:tentative="0">
      <w:start w:val="1"/>
      <w:numFmt w:val="decimal"/>
      <w:pStyle w:val="2"/>
      <w:suff w:val="space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425" w:hanging="425"/>
      </w:pPr>
      <w:rPr>
        <w:rFonts w:hint="eastAsia"/>
      </w:rPr>
    </w:lvl>
    <w:lvl w:ilvl="2" w:tentative="0">
      <w:start w:val="1"/>
      <w:numFmt w:val="decimal"/>
      <w:suff w:val="space"/>
      <w:lvlText w:val="%1.%2.%3"/>
      <w:lvlJc w:val="left"/>
      <w:pPr>
        <w:ind w:left="425" w:hanging="425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425" w:hanging="425"/>
      </w:pPr>
      <w:rPr>
        <w:rFonts w:hint="eastAsia"/>
      </w:rPr>
    </w:lvl>
    <w:lvl w:ilvl="4" w:tentative="0">
      <w:start w:val="1"/>
      <w:numFmt w:val="decimal"/>
      <w:suff w:val="space"/>
      <w:lvlText w:val="%1.%2.%3.%4.%5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suff w:val="space"/>
      <w:lvlText w:val="%1.%2.%3.%4.%5.%6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suff w:val="space"/>
      <w:lvlText w:val="%1.%2.%3.%4.%5.%6.%7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">
    <w:nsid w:val="53738654"/>
    <w:multiLevelType w:val="singleLevel"/>
    <w:tmpl w:val="5373865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AwZTYwMDE0YjJiM2Y4ZDcxNDI0ZTA1YjUzNmI5YWMifQ=="/>
  </w:docVars>
  <w:rsids>
    <w:rsidRoot w:val="00000000"/>
    <w:rsid w:val="026E54F6"/>
    <w:rsid w:val="04B74C29"/>
    <w:rsid w:val="05B90594"/>
    <w:rsid w:val="08F15CA2"/>
    <w:rsid w:val="0A0F4BBF"/>
    <w:rsid w:val="0A1313A3"/>
    <w:rsid w:val="0B3C2AF9"/>
    <w:rsid w:val="0BDC6D23"/>
    <w:rsid w:val="0EB91DF8"/>
    <w:rsid w:val="13CC30E5"/>
    <w:rsid w:val="13EB77C9"/>
    <w:rsid w:val="13F54E26"/>
    <w:rsid w:val="154047C7"/>
    <w:rsid w:val="16D2144F"/>
    <w:rsid w:val="18AC5CCF"/>
    <w:rsid w:val="18D71108"/>
    <w:rsid w:val="18D80A32"/>
    <w:rsid w:val="1A814E2F"/>
    <w:rsid w:val="1B0F3B77"/>
    <w:rsid w:val="1B0F4628"/>
    <w:rsid w:val="1CA47DEB"/>
    <w:rsid w:val="1D5D7D6E"/>
    <w:rsid w:val="1F75506D"/>
    <w:rsid w:val="21396981"/>
    <w:rsid w:val="230B5AF9"/>
    <w:rsid w:val="23290F37"/>
    <w:rsid w:val="252E69A3"/>
    <w:rsid w:val="2ACF41CB"/>
    <w:rsid w:val="352E7D40"/>
    <w:rsid w:val="356D564D"/>
    <w:rsid w:val="35E03756"/>
    <w:rsid w:val="3ADD1C8C"/>
    <w:rsid w:val="3B650F46"/>
    <w:rsid w:val="3B9603ED"/>
    <w:rsid w:val="3C4165AB"/>
    <w:rsid w:val="3F6F4A6B"/>
    <w:rsid w:val="40851762"/>
    <w:rsid w:val="40E028BD"/>
    <w:rsid w:val="42075675"/>
    <w:rsid w:val="42FE0D52"/>
    <w:rsid w:val="461A0599"/>
    <w:rsid w:val="4A8A2021"/>
    <w:rsid w:val="4B0A6E5A"/>
    <w:rsid w:val="4D456F2E"/>
    <w:rsid w:val="4FE7006F"/>
    <w:rsid w:val="52AB4326"/>
    <w:rsid w:val="530D2A94"/>
    <w:rsid w:val="5463310B"/>
    <w:rsid w:val="55756D49"/>
    <w:rsid w:val="57A001D2"/>
    <w:rsid w:val="589075B2"/>
    <w:rsid w:val="59E43720"/>
    <w:rsid w:val="5BE23B18"/>
    <w:rsid w:val="5F2D1C58"/>
    <w:rsid w:val="619927CD"/>
    <w:rsid w:val="64F8164D"/>
    <w:rsid w:val="65F00576"/>
    <w:rsid w:val="6666492F"/>
    <w:rsid w:val="678A1908"/>
    <w:rsid w:val="6796107F"/>
    <w:rsid w:val="69603C65"/>
    <w:rsid w:val="69AD4AF1"/>
    <w:rsid w:val="69E6481D"/>
    <w:rsid w:val="6B826114"/>
    <w:rsid w:val="6BD03F0A"/>
    <w:rsid w:val="73214465"/>
    <w:rsid w:val="792151BF"/>
    <w:rsid w:val="797E6997"/>
    <w:rsid w:val="79E166FC"/>
    <w:rsid w:val="7F607C85"/>
    <w:rsid w:val="7F6B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numPr>
        <w:ilvl w:val="0"/>
        <w:numId w:val="1"/>
      </w:numPr>
      <w:snapToGrid w:val="0"/>
      <w:spacing w:before="156" w:beforeLines="50" w:after="156" w:afterLines="50" w:line="312" w:lineRule="auto"/>
      <w:jc w:val="left"/>
      <w:outlineLvl w:val="0"/>
    </w:pPr>
    <w:rPr>
      <w:rFonts w:ascii="微软雅黑" w:hAnsi="微软雅黑"/>
      <w:b/>
      <w:bCs/>
      <w:kern w:val="44"/>
      <w:sz w:val="36"/>
      <w:szCs w:val="24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样式"/>
    <w:basedOn w:val="1"/>
    <w:qFormat/>
    <w:uiPriority w:val="0"/>
    <w:pPr>
      <w:spacing w:line="360" w:lineRule="auto"/>
      <w:ind w:firstLine="480" w:firstLineChars="200"/>
    </w:pPr>
    <w:rPr>
      <w:rFonts w:ascii="微软雅黑" w:hAnsi="微软雅黑"/>
      <w:sz w:val="24"/>
    </w:rPr>
  </w:style>
  <w:style w:type="paragraph" w:styleId="6">
    <w:name w:val="toc 3"/>
    <w:basedOn w:val="1"/>
    <w:next w:val="1"/>
    <w:unhideWhenUsed/>
    <w:qFormat/>
    <w:uiPriority w:val="39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7">
    <w:name w:val="toc 1"/>
    <w:basedOn w:val="1"/>
    <w:next w:val="1"/>
    <w:unhideWhenUsed/>
    <w:qFormat/>
    <w:uiPriority w:val="39"/>
    <w:pPr>
      <w:spacing w:before="120" w:after="120" w:line="240" w:lineRule="atLeast"/>
      <w:jc w:val="left"/>
    </w:pPr>
    <w:rPr>
      <w:rFonts w:cstheme="minorHAnsi"/>
      <w:b/>
      <w:bCs/>
      <w:caps/>
      <w:sz w:val="20"/>
      <w:szCs w:val="20"/>
    </w:rPr>
  </w:style>
  <w:style w:type="paragraph" w:styleId="8">
    <w:name w:val="toc 2"/>
    <w:basedOn w:val="1"/>
    <w:next w:val="1"/>
    <w:unhideWhenUsed/>
    <w:qFormat/>
    <w:uiPriority w:val="39"/>
    <w:pPr>
      <w:ind w:left="210"/>
      <w:jc w:val="left"/>
    </w:pPr>
    <w:rPr>
      <w:rFonts w:cstheme="minorHAnsi"/>
      <w:smallCaps/>
      <w:sz w:val="20"/>
      <w:szCs w:val="20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paragraph" w:customStyle="1" w:styleId="13">
    <w:name w:val="xl5512344"/>
    <w:basedOn w:val="1"/>
    <w:qFormat/>
    <w:uiPriority w:val="0"/>
    <w:pPr>
      <w:widowControl/>
      <w:spacing w:before="100" w:beforeAutospacing="1" w:after="100" w:afterAutospacing="1"/>
      <w:jc w:val="center"/>
      <w:textAlignment w:val="bottom"/>
    </w:pPr>
    <w:rPr>
      <w:rFonts w:hint="eastAsia" w:ascii="宋体" w:hAnsi="宋体" w:eastAsia="宋体" w:cs="Times New Roman"/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emf"/><Relationship Id="rId15" Type="http://schemas.openxmlformats.org/officeDocument/2006/relationships/oleObject" Target="embeddings/oleObject2.bin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2023-12-07T09:12:00Z</dcterms:created>
  <dc:creator>Administrator</dc:creator>
  <cp:lastModifiedBy>阳光</cp:lastModifiedBy>
  <dcterms:modified xsi:type="dcterms:W3CDTF">2023-12-08T02:23:44Z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FBE208ABB3914360BE81BF3094CC1C65_12</vt:lpwstr>
  </property>
</Properties>
</file>