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8"/>
        <w:gridCol w:w="5188"/>
      </w:tblGrid>
      <w:tr w14:paraId="756B7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8334" w:type="dxa"/>
            <w:vAlign w:val="center"/>
          </w:tcPr>
          <w:p w14:paraId="07842FEB">
            <w:pPr>
              <w:spacing w:before="0" w:after="40" w:line="240" w:lineRule="auto"/>
              <w:jc w:val="left"/>
            </w:pPr>
            <w:r>
              <w:rPr>
                <w:rFonts w:ascii="Calibri" w:hAnsi="Calibri" w:eastAsia="微软雅黑"/>
                <w:b/>
                <w:color w:val="1F4E79"/>
                <w:sz w:val="36"/>
              </w:rPr>
              <w:t>葛晓辉</w:t>
            </w:r>
          </w:p>
          <w:p w14:paraId="256615F8">
            <w:pPr>
              <w:spacing w:before="0" w:after="60" w:line="240" w:lineRule="auto"/>
            </w:pPr>
            <w:r>
              <w:rPr>
                <w:rFonts w:ascii="Calibri" w:hAnsi="Calibri" w:eastAsia="微软雅黑"/>
                <w:b/>
                <w:color w:val="222222"/>
                <w:sz w:val="20"/>
              </w:rPr>
              <w:t>求职意向：计算机视觉算法实习生  / AI应用开发实习生</w:t>
            </w:r>
          </w:p>
          <w:p w14:paraId="11C3A24E">
            <w:pPr>
              <w:spacing w:before="0" w:after="20" w:line="240" w:lineRule="auto"/>
            </w:pPr>
            <w:r>
              <w:rPr>
                <w:rFonts w:ascii="Calibri" w:hAnsi="Calibri" w:eastAsia="微软雅黑"/>
                <w:b w:val="0"/>
                <w:color w:val="585858"/>
                <w:sz w:val="18"/>
              </w:rPr>
              <w:t>男 | 安徽亳州 | 19956757926 | 2435327197@qq.com</w:t>
            </w:r>
          </w:p>
          <w:p w14:paraId="2877A6DC">
            <w:pPr>
              <w:spacing w:before="0"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color w:val="585858"/>
                <w:sz w:val="17"/>
                <w:u w:val="none"/>
              </w:rPr>
              <w:t>GitHub：</w:t>
            </w:r>
            <w:r>
              <w:fldChar w:fldCharType="begin"/>
            </w:r>
            <w:r>
              <w:instrText xml:space="preserve"> HYPERLINK "https://github.com/huu974" \h </w:instrText>
            </w:r>
            <w:r>
              <w:fldChar w:fldCharType="separate"/>
            </w:r>
            <w:r>
              <w:rPr>
                <w:rFonts w:ascii="Calibri" w:hAnsi="Calibri" w:eastAsia="微软雅黑"/>
                <w:color w:val="0563C1"/>
                <w:sz w:val="17"/>
                <w:szCs w:val="17"/>
                <w:u w:val="single"/>
              </w:rPr>
              <w:t>huu974</w:t>
            </w:r>
            <w:r>
              <w:rPr>
                <w:rFonts w:ascii="Calibri" w:hAnsi="Calibri" w:eastAsia="微软雅黑"/>
                <w:color w:val="0563C1"/>
                <w:sz w:val="17"/>
                <w:szCs w:val="17"/>
                <w:u w:val="single"/>
              </w:rPr>
              <w:fldChar w:fldCharType="end"/>
            </w:r>
            <w:r>
              <w:rPr>
                <w:rFonts w:ascii="Calibri" w:hAnsi="Calibri" w:eastAsia="微软雅黑"/>
                <w:b w:val="0"/>
                <w:color w:val="585858"/>
                <w:sz w:val="17"/>
                <w:u w:val="none"/>
              </w:rPr>
              <w:t xml:space="preserve"> | 博客：</w:t>
            </w:r>
            <w:r>
              <w:fldChar w:fldCharType="begin"/>
            </w:r>
            <w:r>
              <w:instrText xml:space="preserve"> HYPERLINK "https://blog.csdn.net/2501_93258846?type=blog" \h </w:instrText>
            </w:r>
            <w:r>
              <w:fldChar w:fldCharType="separate"/>
            </w:r>
            <w:r>
              <w:rPr>
                <w:rFonts w:hint="eastAsia"/>
                <w:color w:val="0563C1"/>
                <w:sz w:val="17"/>
                <w:szCs w:val="17"/>
                <w:u w:val="single"/>
                <w:lang w:val="en-US" w:eastAsia="zh-CN"/>
              </w:rPr>
              <w:t>A</w:t>
            </w:r>
            <w:r>
              <w:rPr>
                <w:rFonts w:ascii="Calibri" w:hAnsi="Calibri" w:eastAsia="微软雅黑"/>
                <w:color w:val="0563C1"/>
                <w:sz w:val="17"/>
                <w:szCs w:val="17"/>
                <w:u w:val="single"/>
              </w:rPr>
              <w:fldChar w:fldCharType="end"/>
            </w:r>
            <w:r>
              <w:rPr>
                <w:rFonts w:hint="eastAsia"/>
                <w:color w:val="0563C1"/>
                <w:sz w:val="17"/>
                <w:szCs w:val="17"/>
                <w:u w:val="single"/>
                <w:lang w:val="en-US" w:eastAsia="zh-CN"/>
              </w:rPr>
              <w:t>Z_hui</w:t>
            </w:r>
          </w:p>
        </w:tc>
        <w:tc>
          <w:tcPr>
            <w:tcW w:w="2041" w:type="dxa"/>
            <w:vAlign w:val="top"/>
          </w:tcPr>
          <w:p w14:paraId="684C8C96">
            <w:pPr>
              <w:spacing w:before="0" w:after="0" w:line="240" w:lineRule="auto"/>
              <w:jc w:val="right"/>
            </w:pPr>
            <w:r>
              <w:drawing>
                <wp:inline distT="0" distB="0" distL="114300" distR="114300">
                  <wp:extent cx="881380" cy="1236345"/>
                  <wp:effectExtent l="0" t="0" r="2540" b="133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000" cy="1236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37AC11">
      <w:pPr>
        <w:spacing w:before="0" w:after="40" w:line="240" w:lineRule="auto"/>
      </w:pPr>
    </w:p>
    <w:p w14:paraId="244C9D48">
      <w:pPr>
        <w:pBdr>
          <w:bottom w:val="single" w:color="D9EAF7" w:sz="8" w:space="3"/>
        </w:pBdr>
        <w:spacing w:before="100" w:after="60" w:line="240" w:lineRule="auto"/>
      </w:pPr>
      <w:r>
        <w:rPr>
          <w:rFonts w:ascii="Calibri" w:hAnsi="Calibri" w:eastAsia="微软雅黑"/>
          <w:b/>
          <w:color w:val="1F4E79"/>
          <w:sz w:val="21"/>
        </w:rPr>
        <w:t>教育背景</w:t>
      </w:r>
    </w:p>
    <w:p w14:paraId="031AD23C">
      <w:pPr>
        <w:spacing w:before="0" w:after="40" w:line="240" w:lineRule="auto"/>
      </w:pPr>
      <w:r>
        <w:rPr>
          <w:rFonts w:ascii="Calibri" w:hAnsi="Calibri" w:eastAsia="微软雅黑"/>
          <w:b/>
          <w:color w:val="222222"/>
          <w:sz w:val="19"/>
        </w:rPr>
        <w:t>巢湖学院</w:t>
      </w:r>
      <w:r>
        <w:rPr>
          <w:rFonts w:ascii="Calibri" w:hAnsi="Calibri" w:eastAsia="微软雅黑"/>
          <w:b w:val="0"/>
          <w:color w:val="222222"/>
          <w:sz w:val="19"/>
        </w:rPr>
        <w:t xml:space="preserve"> | 计算机科学与技术 | 2029届</w:t>
      </w:r>
    </w:p>
    <w:p w14:paraId="6A31BEF6">
      <w:pPr>
        <w:pBdr>
          <w:bottom w:val="single" w:color="D9EAF7" w:sz="8" w:space="3"/>
        </w:pBdr>
        <w:spacing w:before="100" w:after="60" w:line="240" w:lineRule="auto"/>
      </w:pPr>
      <w:r>
        <w:rPr>
          <w:rFonts w:ascii="Calibri" w:hAnsi="Calibri" w:eastAsia="微软雅黑"/>
          <w:b/>
          <w:color w:val="1F4E79"/>
          <w:sz w:val="21"/>
        </w:rPr>
        <w:t>技术能力</w:t>
      </w:r>
    </w:p>
    <w:p w14:paraId="30B33303">
      <w:pPr>
        <w:pStyle w:val="16"/>
        <w:spacing w:before="0" w:after="20" w:line="240" w:lineRule="auto"/>
        <w:ind w:left="302" w:hanging="173"/>
      </w:pPr>
      <w:r>
        <w:rPr>
          <w:rFonts w:ascii="Calibri" w:hAnsi="Calibri" w:eastAsia="微软雅黑"/>
          <w:b w:val="0"/>
          <w:color w:val="222222"/>
          <w:sz w:val="17"/>
        </w:rPr>
        <w:t>AI应用与智能体：熟悉 RAG、LangChain、LangGraph、Dify、Prompt Engineering，</w:t>
      </w:r>
      <w:r>
        <w:rPr>
          <w:rFonts w:hint="eastAsia"/>
          <w:b w:val="0"/>
          <w:color w:val="222222"/>
          <w:sz w:val="17"/>
          <w:lang w:val="en-US" w:eastAsia="zh-CN"/>
        </w:rPr>
        <w:t>了解</w:t>
      </w:r>
      <w:r>
        <w:rPr>
          <w:rFonts w:ascii="Calibri" w:hAnsi="Calibri" w:eastAsia="微软雅黑"/>
          <w:b w:val="0"/>
          <w:color w:val="222222"/>
          <w:sz w:val="17"/>
        </w:rPr>
        <w:t>多智能体框架</w:t>
      </w:r>
      <w:r>
        <w:rPr>
          <w:rFonts w:hint="eastAsia"/>
          <w:b w:val="0"/>
          <w:color w:val="222222"/>
          <w:sz w:val="17"/>
          <w:lang w:val="en-US" w:eastAsia="zh-CN"/>
        </w:rPr>
        <w:t>和Hermes智能体</w:t>
      </w:r>
      <w:r>
        <w:rPr>
          <w:rFonts w:ascii="Calibri" w:hAnsi="Calibri" w:eastAsia="微软雅黑"/>
          <w:b w:val="0"/>
          <w:color w:val="222222"/>
          <w:sz w:val="17"/>
        </w:rPr>
        <w:t>相关概念。</w:t>
      </w:r>
    </w:p>
    <w:p w14:paraId="6C1FFC35">
      <w:pPr>
        <w:pStyle w:val="16"/>
        <w:spacing w:before="0" w:after="20" w:line="240" w:lineRule="auto"/>
        <w:ind w:left="302" w:hanging="173"/>
      </w:pPr>
      <w:r>
        <w:rPr>
          <w:rFonts w:ascii="Calibri" w:hAnsi="Calibri" w:eastAsia="微软雅黑"/>
          <w:b w:val="0"/>
          <w:color w:val="222222"/>
          <w:sz w:val="17"/>
        </w:rPr>
        <w:t>深度学习与计算机视觉：熟悉 Python、PyTorch，具备图像分类、目标检测、语义/实例分割、特征提取等视觉任务实践经验。</w:t>
      </w:r>
    </w:p>
    <w:p w14:paraId="004D6AB8">
      <w:pPr>
        <w:pStyle w:val="16"/>
        <w:spacing w:before="0" w:after="20" w:line="240" w:lineRule="auto"/>
        <w:ind w:left="302" w:hanging="173"/>
      </w:pPr>
      <w:r>
        <w:rPr>
          <w:rFonts w:ascii="Calibri" w:hAnsi="Calibri" w:eastAsia="微软雅黑"/>
          <w:b w:val="0"/>
          <w:color w:val="222222"/>
          <w:sz w:val="17"/>
        </w:rPr>
        <w:t>后端与工程化：熟悉 FastAPI 接口开发，了解 Docker、Linux、ONNX Runtime、INT8 量化与模型服务部署流程。</w:t>
      </w:r>
    </w:p>
    <w:p w14:paraId="164D69FC">
      <w:pPr>
        <w:pStyle w:val="16"/>
        <w:spacing w:before="0" w:after="20" w:line="240" w:lineRule="auto"/>
        <w:ind w:left="302" w:hanging="173"/>
      </w:pPr>
      <w:r>
        <w:rPr>
          <w:rFonts w:ascii="Calibri" w:hAnsi="Calibri" w:eastAsia="微软雅黑"/>
          <w:b w:val="0"/>
          <w:color w:val="222222"/>
          <w:sz w:val="17"/>
        </w:rPr>
        <w:t>数据与检索：熟悉 Chroma、Weaviate 等向量数据库基础使用。</w:t>
      </w:r>
    </w:p>
    <w:p w14:paraId="49018380">
      <w:pPr>
        <w:pBdr>
          <w:bottom w:val="single" w:color="D9EAF7" w:sz="8" w:space="3"/>
        </w:pBdr>
        <w:spacing w:before="100" w:after="60" w:line="240" w:lineRule="auto"/>
      </w:pPr>
      <w:r>
        <w:rPr>
          <w:rFonts w:ascii="Calibri" w:hAnsi="Calibri" w:eastAsia="微软雅黑"/>
          <w:b/>
          <w:color w:val="1F4E79"/>
          <w:sz w:val="21"/>
        </w:rPr>
        <w:t>项目经历</w:t>
      </w:r>
    </w:p>
    <w:p w14:paraId="1C086E16">
      <w:pPr>
        <w:spacing w:before="40" w:after="30" w:line="240" w:lineRule="auto"/>
      </w:pPr>
      <w:r>
        <w:rPr>
          <w:rFonts w:ascii="Calibri" w:hAnsi="Calibri" w:eastAsia="Calibri"/>
          <w:b/>
          <w:color w:val="222222"/>
          <w:sz w:val="19"/>
        </w:rPr>
        <w:t>基于 EfficientNet-B3 的细粒度皮肤病图像分类与模型评估系统</w:t>
      </w:r>
    </w:p>
    <w:p w14:paraId="20012D29">
      <w:pPr>
        <w:spacing w:before="0" w:after="30" w:line="240" w:lineRule="auto"/>
      </w:pPr>
      <w:r>
        <w:rPr>
          <w:rFonts w:ascii="Calibri" w:hAnsi="Calibri" w:eastAsia="Calibri"/>
          <w:b/>
          <w:color w:val="585858"/>
          <w:sz w:val="17"/>
        </w:rPr>
        <w:t>技术栈：</w:t>
      </w:r>
      <w:r>
        <w:rPr>
          <w:rFonts w:ascii="Calibri" w:hAnsi="Calibri" w:eastAsia="Calibri"/>
          <w:b w:val="0"/>
          <w:color w:val="585858"/>
          <w:sz w:val="17"/>
        </w:rPr>
        <w:t>PyTorch、torchvision、EfficientNet-B3、OpenCV、FastAPI、RAG、Chroma、Prompt Engineering</w:t>
      </w:r>
    </w:p>
    <w:p w14:paraId="438626E9">
      <w:pPr>
        <w:spacing w:before="0" w:after="30" w:line="240" w:lineRule="auto"/>
      </w:pPr>
      <w:r>
        <w:rPr>
          <w:rFonts w:ascii="Calibri" w:hAnsi="Calibri" w:eastAsia="Calibri"/>
          <w:b/>
          <w:color w:val="585858"/>
          <w:sz w:val="17"/>
          <w:u w:val="none"/>
        </w:rPr>
        <w:t>项目地址：</w:t>
      </w:r>
      <w:r>
        <w:rPr>
          <w:rFonts w:ascii="Calibri" w:hAnsi="Calibri" w:eastAsia="Calibri"/>
          <w:b w:val="0"/>
          <w:sz w:val="17"/>
        </w:rPr>
        <w:t>Skin-Disease-AI-System</w:t>
      </w:r>
      <w:r/>
      <w:r/>
      <w:r>
        <w:rPr>
          <w:rFonts w:ascii="Calibri" w:hAnsi="Calibri" w:eastAsia="Calibri"/>
          <w:color w:val="0563C1"/>
          <w:sz w:val="17"/>
          <w:szCs w:val="17"/>
          <w:u w:val="single"/>
        </w:rPr>
      </w:r>
      <w:r>
        <w:rPr>
          <w:rFonts w:ascii="Calibri" w:hAnsi="Calibri" w:eastAsia="Calibri"/>
          <w:color w:val="0563C1"/>
          <w:sz w:val="17"/>
          <w:szCs w:val="17"/>
          <w:u w:val="single"/>
        </w:rPr>
      </w:r>
    </w:p>
    <w:p w14:paraId="22DE0767">
      <w:pPr>
        <w:pStyle w:val="16"/>
        <w:spacing w:before="0" w:after="20" w:line="240" w:lineRule="auto"/>
        <w:ind w:left="302" w:hanging="173"/>
      </w:pPr>
      <w:r>
        <w:rPr>
          <w:rFonts w:ascii="Calibri" w:hAnsi="Calibri" w:eastAsia="Calibri"/>
          <w:b w:val="0"/>
          <w:color w:val="222222"/>
          <w:sz w:val="17"/>
        </w:rPr>
        <w:t>围绕 23 类皮肤病细粒度图像分类任务，独立完成数据集整理、训练实验设计、模型评估、后端推理服务和前端结果展示，形成从算法训练到应用落地的完整视觉系统闭环。</w:t>
      </w:r>
    </w:p>
    <w:p w14:paraId="13FA612D">
      <w:pPr>
        <w:pStyle w:val="16"/>
        <w:spacing w:before="0" w:after="20" w:line="240" w:lineRule="auto"/>
        <w:ind w:left="302" w:hanging="173"/>
      </w:pPr>
      <w:r>
        <w:rPr>
          <w:rFonts w:ascii="Calibri" w:hAnsi="Calibri" w:eastAsia="Calibri"/>
          <w:b w:val="0"/>
          <w:color w:val="222222"/>
          <w:sz w:val="17"/>
        </w:rPr>
        <w:t>基于 PyTorch 与 EfficientNet-B3 进行迁移学习，设计数据增强、AdamW 优化、Cosine LR、Early Stopping 和 Label Smoothing 训练流程；验证集 Top-1 Accuracy 约 65%，Top-5 Accuracy 约 88%。</w:t>
      </w:r>
    </w:p>
    <w:p w14:paraId="2DC35B66">
      <w:pPr>
        <w:pStyle w:val="16"/>
        <w:spacing w:before="0" w:after="20" w:line="240" w:lineRule="auto"/>
        <w:ind w:left="302" w:hanging="173"/>
      </w:pPr>
      <w:r>
        <w:rPr>
          <w:rFonts w:ascii="Calibri" w:hAnsi="Calibri" w:eastAsia="Calibri"/>
          <w:b w:val="0"/>
          <w:color w:val="222222"/>
          <w:sz w:val="17"/>
        </w:rPr>
        <w:t>对比 Cross Entropy、Focal Loss、Class-Balanced Loss 等训练策略，结合 Loss/Top-K 曲线、类别分布和错误样本分析，定位相似病种混淆、标签噪声和水印干扰等影响细粒度识别效果的关键因素。</w:t>
      </w:r>
    </w:p>
    <w:p w14:paraId="4B504279">
      <w:pPr>
        <w:pStyle w:val="16"/>
        <w:spacing w:before="0" w:after="20" w:line="240" w:lineRule="auto"/>
        <w:ind w:left="302" w:hanging="173"/>
      </w:pPr>
      <w:r>
        <w:rPr>
          <w:rFonts w:ascii="Calibri" w:hAnsi="Calibri" w:eastAsia="Calibri"/>
          <w:b w:val="0"/>
          <w:color w:val="222222"/>
          <w:sz w:val="17"/>
        </w:rPr>
        <w:t>将训练得到的视觉模型封装为 FastAPI 推理接口，支持图片上传、预处理、Top-K 候选类别返回和置信度展示；同时扩展 RAG/Agent 模块，为分类结果生成疾病解释、护理建议和就医提醒。</w:t>
      </w:r>
    </w:p>
    <w:p w14:paraId="10CFBBF7">
      <w:pPr>
        <w:spacing w:before="40" w:after="30" w:line="240" w:lineRule="auto"/>
      </w:pPr>
      <w:r>
        <w:rPr>
          <w:rFonts w:ascii="Calibri" w:hAnsi="Calibri" w:eastAsia="微软雅黑"/>
          <w:b/>
          <w:color w:val="222222"/>
          <w:sz w:val="19"/>
        </w:rPr>
        <w:t>基于 VMamba 与频域特征金字塔的乳腺超声病灶智能分割与辅助诊断系统</w:t>
      </w:r>
    </w:p>
    <w:p w14:paraId="4A4B6190">
      <w:pPr>
        <w:spacing w:before="0" w:after="30" w:line="240" w:lineRule="auto"/>
      </w:pPr>
      <w:r>
        <w:rPr>
          <w:rFonts w:ascii="Calibri" w:hAnsi="Calibri" w:eastAsia="微软雅黑"/>
          <w:b/>
          <w:color w:val="585858"/>
          <w:sz w:val="17"/>
        </w:rPr>
        <w:t>技术栈：</w:t>
      </w:r>
      <w:r>
        <w:rPr>
          <w:rFonts w:ascii="Calibri" w:hAnsi="Calibri" w:eastAsia="微软雅黑"/>
          <w:b w:val="0"/>
          <w:color w:val="585858"/>
          <w:sz w:val="17"/>
        </w:rPr>
        <w:t>PyTorch、VMamba、FastAPI、Vue.js、ONNX Runtime、Docker Compose</w:t>
      </w:r>
    </w:p>
    <w:p w14:paraId="47BEEC95">
      <w:pPr>
        <w:spacing w:before="0" w:after="30" w:line="240" w:lineRule="auto"/>
      </w:pPr>
      <w:r>
        <w:rPr>
          <w:rFonts w:ascii="Calibri" w:hAnsi="Calibri" w:eastAsia="微软雅黑"/>
          <w:b/>
          <w:color w:val="585858"/>
          <w:sz w:val="17"/>
          <w:u w:val="none"/>
        </w:rPr>
        <w:t>项目地址：</w:t>
      </w:r>
      <w:r>
        <w:fldChar w:fldCharType="begin"/>
      </w:r>
      <w:r>
        <w:instrText xml:space="preserve"> HYPERLINK "https://github.com/huu974/Breast_cancer" \h </w:instrText>
      </w:r>
      <w:r>
        <w:fldChar w:fldCharType="separate"/>
      </w:r>
      <w:r>
        <w:rPr>
          <w:rFonts w:ascii="Calibri" w:hAnsi="Calibri" w:eastAsia="微软雅黑"/>
          <w:color w:val="0563C1"/>
          <w:sz w:val="17"/>
          <w:szCs w:val="17"/>
          <w:u w:val="single"/>
        </w:rPr>
        <w:t>Breast_cancer</w:t>
      </w:r>
      <w:r>
        <w:rPr>
          <w:rFonts w:ascii="Calibri" w:hAnsi="Calibri" w:eastAsia="微软雅黑"/>
          <w:color w:val="0563C1"/>
          <w:sz w:val="17"/>
          <w:szCs w:val="17"/>
          <w:u w:val="single"/>
        </w:rPr>
        <w:fldChar w:fldCharType="end"/>
      </w:r>
    </w:p>
    <w:p w14:paraId="42918B46">
      <w:pPr>
        <w:pStyle w:val="16"/>
        <w:spacing w:before="0" w:after="20" w:line="240" w:lineRule="auto"/>
        <w:ind w:left="302" w:hanging="173"/>
      </w:pPr>
      <w:r>
        <w:rPr>
          <w:rFonts w:ascii="Calibri" w:hAnsi="Calibri" w:eastAsia="微软雅黑"/>
          <w:b w:val="0"/>
          <w:color w:val="222222"/>
          <w:sz w:val="17"/>
        </w:rPr>
        <w:t>独立完成面向乳腺超声图像的病灶分割、良恶性分类、BI-RADS 分级评估、生物标志物提取与结构化诊断报告生成流程。</w:t>
      </w:r>
    </w:p>
    <w:p w14:paraId="2116C099">
      <w:pPr>
        <w:pStyle w:val="16"/>
        <w:spacing w:before="0" w:after="20" w:line="240" w:lineRule="auto"/>
        <w:ind w:left="302" w:hanging="173"/>
      </w:pPr>
      <w:r>
        <w:rPr>
          <w:rFonts w:ascii="Calibri" w:hAnsi="Calibri" w:eastAsia="微软雅黑"/>
          <w:b w:val="0"/>
          <w:color w:val="222222"/>
          <w:sz w:val="17"/>
        </w:rPr>
        <w:t>设计双编码器混合架构：以 VMamba-Tiny 捕获全局上下文，并行构建 FFT + DCT 频域特征金字塔分支，通过门控融合机制融合多尺度特征。</w:t>
      </w:r>
    </w:p>
    <w:p w14:paraId="341B9BA7">
      <w:pPr>
        <w:pStyle w:val="16"/>
        <w:spacing w:before="0" w:after="20" w:line="240" w:lineRule="auto"/>
        <w:ind w:left="302" w:hanging="173"/>
      </w:pPr>
      <w:r>
        <w:rPr>
          <w:rFonts w:ascii="Calibri" w:hAnsi="Calibri" w:eastAsia="微软雅黑"/>
          <w:b w:val="0"/>
          <w:color w:val="222222"/>
          <w:sz w:val="17"/>
        </w:rPr>
        <w:t>解码器采用嵌套式 U-Net++ 结构，集成基于 CARAFE 的频域感知上采样模块，并通过多尺度预测头与自适应预测融合提升边界分割精度。</w:t>
      </w:r>
    </w:p>
    <w:p w14:paraId="3913F8E6">
      <w:pPr>
        <w:pStyle w:val="16"/>
        <w:spacing w:before="0" w:after="20" w:line="240" w:lineRule="auto"/>
        <w:ind w:left="302" w:hanging="173"/>
      </w:pPr>
      <w:r>
        <w:rPr>
          <w:rFonts w:ascii="Calibri" w:hAnsi="Calibri" w:eastAsia="微软雅黑"/>
          <w:b w:val="0"/>
          <w:color w:val="222222"/>
          <w:sz w:val="17"/>
        </w:rPr>
        <w:t>构建多任务学习方案，结合 Dice Loss、动态类别平衡 Focal Loss 与先验回归损失，同时支持病灶分割、良恶性分类和临床形态学指标预测。</w:t>
      </w:r>
    </w:p>
    <w:p w14:paraId="4C45B24C">
      <w:pPr>
        <w:pStyle w:val="16"/>
        <w:spacing w:before="0" w:after="20" w:line="240" w:lineRule="auto"/>
        <w:ind w:left="302" w:hanging="173"/>
      </w:pPr>
      <w:r>
        <w:rPr>
          <w:rFonts w:ascii="Calibri" w:hAnsi="Calibri" w:eastAsia="微软雅黑"/>
          <w:b w:val="0"/>
          <w:color w:val="222222"/>
          <w:sz w:val="17"/>
        </w:rPr>
        <w:t>完成工程化落地：FastAPI 后端支持 PyTorch/ONNX 双推理引擎、模型热切换与 INT8 量化加速；前端采用 Vue.js + Element UI，并使用 Docker Compose 编排 PostgreSQL、MinIO等服务。</w:t>
      </w:r>
    </w:p>
    <w:p w14:paraId="624ACFA9">
      <w:pPr>
        <w:pBdr>
          <w:bottom w:val="single" w:color="D9EAF7" w:sz="8" w:space="3"/>
        </w:pBdr>
        <w:spacing w:before="100" w:after="60" w:line="240" w:lineRule="auto"/>
      </w:pPr>
      <w:r>
        <w:rPr>
          <w:rFonts w:ascii="Calibri" w:hAnsi="Calibri" w:eastAsia="微软雅黑"/>
          <w:b/>
          <w:color w:val="1F4E79"/>
          <w:sz w:val="21"/>
        </w:rPr>
        <w:t>个人优势</w:t>
      </w:r>
    </w:p>
    <w:p w14:paraId="23320B72">
      <w:pPr>
        <w:pStyle w:val="16"/>
        <w:spacing w:before="0" w:after="20" w:line="240" w:lineRule="auto"/>
        <w:ind w:left="302" w:hanging="173"/>
      </w:pPr>
      <w:r>
        <w:rPr>
          <w:rFonts w:ascii="Calibri" w:hAnsi="Calibri" w:eastAsia="微软雅黑"/>
          <w:b w:val="0"/>
          <w:color w:val="222222"/>
          <w:sz w:val="17"/>
        </w:rPr>
        <w:t>具备从算法模型、知识库检索、Agent 编排、后端接口到部署联调的端到端项目实践经验。</w:t>
      </w:r>
    </w:p>
    <w:p w14:paraId="42E1F625">
      <w:pPr>
        <w:pStyle w:val="16"/>
        <w:spacing w:before="0" w:after="20" w:line="240" w:lineRule="auto"/>
        <w:ind w:left="302" w:hanging="173"/>
      </w:pPr>
      <w:r>
        <w:rPr>
          <w:rFonts w:ascii="Calibri" w:hAnsi="Calibri" w:eastAsia="微软雅黑"/>
          <w:b w:val="0"/>
          <w:color w:val="222222"/>
          <w:sz w:val="17"/>
        </w:rPr>
        <w:t>关注 AI、RAG、Agent 与医疗影像方向，学习能力和动手能力较强，能够快速适</w:t>
      </w:r>
      <w:bookmarkStart w:id="0" w:name="_GoBack"/>
      <w:bookmarkEnd w:id="0"/>
      <w:r>
        <w:rPr>
          <w:rFonts w:ascii="Calibri" w:hAnsi="Calibri" w:eastAsia="微软雅黑"/>
          <w:b w:val="0"/>
          <w:color w:val="222222"/>
          <w:sz w:val="17"/>
        </w:rPr>
        <w:t>应新技术栈并推进项目落地。</w:t>
      </w:r>
    </w:p>
    <w:sectPr>
      <w:footerReference r:id="rId5" w:type="default"/>
      <w:pgSz w:w="11906" w:h="16838"/>
      <w:pgMar w:top="652" w:right="765" w:bottom="624" w:left="765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8DE9D">
    <w:pPr>
      <w:pStyle w:val="24"/>
      <w:spacing w:before="0" w:after="0" w:line="240" w:lineRule="auto"/>
      <w:jc w:val="center"/>
    </w:pPr>
    <w:r>
      <w:rPr>
        <w:rFonts w:ascii="Calibri" w:hAnsi="Calibri" w:eastAsia="微软雅黑"/>
        <w:b w:val="0"/>
        <w:color w:val="585858"/>
        <w:sz w:val="16"/>
      </w:rPr>
      <w:t>计算机视觉</w:t>
    </w:r>
    <w:r>
      <w:rPr>
        <w:rFonts w:hint="eastAsia"/>
        <w:b w:val="0"/>
        <w:color w:val="585858"/>
        <w:sz w:val="16"/>
        <w:lang w:val="en-US" w:eastAsia="zh-CN"/>
      </w:rPr>
      <w:t xml:space="preserve"> </w:t>
    </w:r>
    <w:r>
      <w:rPr>
        <w:rFonts w:ascii="Calibri" w:hAnsi="Calibri" w:eastAsia="微软雅黑"/>
        <w:b w:val="0"/>
        <w:color w:val="585858"/>
        <w:sz w:val="16"/>
      </w:rPr>
      <w:t>/ AI应用开发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C51FDA"/>
    <w:rsid w:val="1AB0788A"/>
    <w:rsid w:val="443D1D4E"/>
    <w:rsid w:val="5137688E"/>
    <w:rsid w:val="584119B5"/>
    <w:rsid w:val="7DEE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852</Words>
  <Characters>1274</Characters>
  <Lines>0</Lines>
  <Paragraphs>0</Paragraphs>
  <TotalTime>0</TotalTime>
  <ScaleCrop>false</ScaleCrop>
  <LinksUpToDate>false</LinksUpToDate>
  <CharactersWithSpaces>1355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葛晓辉</cp:lastModifiedBy>
  <dcterms:modified xsi:type="dcterms:W3CDTF">2026-06-24T02:44:15Z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eyJoZGlkIjoiYWFjYTg0NDdiNjA3MjBjODExNGM1YjhhOTc1M2I5ZGUiLCJ1c2VySWQiOiI5MDk0NTY0NTEifQ==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43297F61540C4B13A890386974EE4E16_13</vt:lpwstr>
  </property>
</Properties>
</file>