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555555"/>
          <w:sz w:val="24"/>
          <w:szCs w:val="24"/>
        </w:rPr>
        <w:t xml:space="preserve">Commodity Monitoring System</w:t>
      </w:r>
    </w:p>
    <w:p>
      <w:pPr>
        <w:spacing w:after="60" w:before="0"/>
      </w:pPr>
      <w:r>
        <w:rPr>
          <w:rFonts w:ascii="Arial" w:cs="Arial" w:eastAsia="Arial" w:hAnsi="Arial"/>
          <w:b/>
          <w:bCs/>
          <w:color w:val="1A1A1A"/>
          <w:sz w:val="64"/>
          <w:szCs w:val="64"/>
        </w:rPr>
        <w:t xml:space="preserve">Price Block</w:t>
      </w:r>
    </w:p>
    <w:p>
      <w:pPr>
        <w:spacing w:after="60" w:before="0"/>
      </w:pPr>
      <w:r>
        <w:rPr>
          <w:rFonts w:ascii="Arial" w:cs="Arial" w:eastAsia="Arial" w:hAnsi="Arial"/>
          <w:color w:val="008866"/>
          <w:sz w:val="30"/>
          <w:szCs w:val="30"/>
        </w:rPr>
        <w:t xml:space="preserve">Handover Document</w:t>
      </w:r>
    </w:p>
    <w:p>
      <w:pPr>
        <w:pBdr>
          <w:bottom w:val="single" w:color="008866" w:sz="14" w:space="1"/>
        </w:pBdr>
        <w:spacing w:after="80" w:before="120"/>
      </w:pPr>
      <w:r>
        <w:t xml:space="preserve"/>
      </w:r>
    </w:p>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This document contains everything needed to build the Price Block of the Commodity Monitoring System from scratch. It is written for an LLM developer agent and covers the full design rationale, all technical decisions, data contracts, formulas, methods, and build order.</w:t>
      </w:r>
    </w:p>
    <w:p>
      <w:pPr>
        <w:spacing w:after="80" w:before="80"/>
      </w:pPr>
      <w:r>
        <w:t xml:space="preserve"/>
      </w:r>
    </w:p>
    <w:p>
      <w:pPr>
        <w:spacing w:after="80" w:before="60"/>
      </w:pPr>
      <w:r>
        <w:rPr>
          <w:rFonts w:ascii="Arial" w:cs="Arial" w:eastAsia="Arial" w:hAnsi="Arial"/>
          <w:b/>
          <w:bCs/>
          <w:i w:val="false"/>
          <w:iCs w:val="false"/>
          <w:color w:val="1A1A1A"/>
          <w:sz w:val="20"/>
          <w:szCs w:val="20"/>
        </w:rPr>
        <w:t xml:space="preserve">Nothing in this document is a placeholder. Every number, method, and threshold has been explicitly agreed and is documented here with its reasoning.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16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Document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LLM Developer Handover</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System</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Commodity Monitoring System — Price Block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V2.0</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Language</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Python (recommended)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prices.csv — provided separately</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Output</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One scored block per commodity, per day</w:t>
            </w:r>
          </w:p>
        </w:tc>
      </w:tr>
    </w:tbl>
    <w:p>
      <w:r>
        <w:br w:type="page"/>
      </w:r>
    </w:p>
    <w:p>
      <w:pPr>
        <w:pStyle w:val="Heading1"/>
        <w:pBdr>
          <w:bottom w:val="single" w:color="008866" w:sz="10" w:space="6"/>
        </w:pBdr>
        <w:spacing w:after="140" w:before="400"/>
      </w:pPr>
      <w:r>
        <w:rPr>
          <w:rFonts w:ascii="Arial" w:cs="Arial" w:eastAsia="Arial" w:hAnsi="Arial"/>
          <w:b/>
          <w:bCs/>
          <w:color w:val="1A1A1A"/>
          <w:sz w:val="30"/>
          <w:szCs w:val="30"/>
        </w:rPr>
        <w:t xml:space="preserve">1 · What You Are Building</w:t>
      </w:r>
    </w:p>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You are building the Price Block — one of two input blocks that together form a Sentiment Score for commodity market analysis.</w:t>
      </w:r>
    </w:p>
    <w:p>
      <w:pPr>
        <w:spacing w:after="80" w:before="80"/>
      </w:pPr>
      <w:r>
        <w:t xml:space="preserve"/>
      </w:r>
    </w:p>
    <w:p>
      <w:pPr>
        <w:pStyle w:val="Heading2"/>
        <w:spacing w:after="100" w:before="280"/>
      </w:pPr>
      <w:r>
        <w:rPr>
          <w:rFonts w:ascii="Arial" w:cs="Arial" w:eastAsia="Arial" w:hAnsi="Arial"/>
          <w:b/>
          <w:bCs/>
          <w:color w:val="008866"/>
          <w:sz w:val="23"/>
          <w:szCs w:val="23"/>
        </w:rPr>
        <w:t xml:space="preserve">The platform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5F5F5" w:val="clear"/>
            <w:tcMar>
              <w:top w:type="dxa" w:w="120"/>
              <w:left w:type="dxa" w:w="200"/>
              <w:bottom w:type="dxa" w:w="120"/>
              <w:right w:type="dxa" w:w="140"/>
            </w:tcMar>
          </w:tcPr>
          <w:p>
            <w:pPr>
              <w:spacing w:after="20" w:before="20"/>
            </w:pPr>
            <w:r>
              <w:rPr>
                <w:rFonts w:ascii="Courier New" w:cs="Courier New" w:eastAsia="Courier New" w:hAnsi="Courier New"/>
                <w:color w:val="333333"/>
                <w:sz w:val="18"/>
                <w:szCs w:val="18"/>
              </w:rPr>
              <w:t xml:space="preserve">Sentiment Score = Price Block Score + News Block Score</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Price Block   →  what markets are doing and expect to do  (THIS DOCUMENT)</w:t>
            </w:r>
          </w:p>
          <w:p>
            <w:pPr>
              <w:spacing w:after="20" w:before="20"/>
            </w:pPr>
            <w:r>
              <w:rPr>
                <w:rFonts w:ascii="Courier New" w:cs="Courier New" w:eastAsia="Courier New" w:hAnsi="Courier New"/>
                <w:color w:val="333333"/>
                <w:sz w:val="18"/>
                <w:szCs w:val="18"/>
              </w:rPr>
              <w:t xml:space="preserve">News Block    →  what external signals and events are saying  (built separately)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0FAF6" w:val="clear"/>
            <w:tcMar>
              <w:top w:type="dxa" w:w="100"/>
              <w:left w:type="dxa" w:w="180"/>
              <w:bottom w:type="dxa" w:w="100"/>
              <w:right w:type="dxa" w:w="140"/>
            </w:tcMar>
          </w:tcPr>
          <w:p>
            <w:pPr>
              <w:spacing w:after="40" w:before="0"/>
            </w:pPr>
            <w:r>
              <w:rPr>
                <w:rFonts w:ascii="Arial" w:cs="Arial" w:eastAsia="Arial" w:hAnsi="Arial"/>
                <w:b/>
                <w:bCs/>
                <w:caps/>
                <w:color w:val="008866"/>
                <w:sz w:val="17"/>
                <w:szCs w:val="17"/>
              </w:rPr>
              <w:t xml:space="preserve">NOTE</w:t>
            </w:r>
          </w:p>
          <w:p>
            <w:pPr>
              <w:spacing w:after="0" w:before="0"/>
            </w:pPr>
            <w:r>
              <w:rPr>
                <w:rFonts w:ascii="Arial" w:cs="Arial" w:eastAsia="Arial" w:hAnsi="Arial"/>
                <w:i/>
                <w:iCs/>
                <w:color w:val="1A1A1A"/>
                <w:sz w:val="19"/>
                <w:szCs w:val="19"/>
              </w:rPr>
              <w:t xml:space="preserve">The Price Block is one input in a larger equation. It is not a standalone decision tool. It produces a normalized score that will be combined with the News Block score. Do not over-engineer it for final decisions — design it as a clean, auditable input module.</w:t>
            </w:r>
          </w:p>
        </w:tc>
      </w:tr>
    </w:tbl>
    <w:p>
      <w:pPr>
        <w:spacing w:after="80" w:before="80"/>
      </w:pPr>
      <w:r>
        <w:t xml:space="preserve"/>
      </w:r>
    </w:p>
    <w:p>
      <w:pPr>
        <w:pStyle w:val="Heading2"/>
        <w:spacing w:after="100" w:before="280"/>
      </w:pPr>
      <w:r>
        <w:rPr>
          <w:rFonts w:ascii="Arial" w:cs="Arial" w:eastAsia="Arial" w:hAnsi="Arial"/>
          <w:b/>
          <w:bCs/>
          <w:color w:val="008866"/>
          <w:sz w:val="23"/>
          <w:szCs w:val="23"/>
        </w:rPr>
        <w:t xml:space="preserve">Who uses the output</w:t>
      </w:r>
    </w:p>
    <w:p>
      <w:pPr>
        <w:spacing w:after="80" w:before="60"/>
      </w:pPr>
      <w:r>
        <w:rPr>
          <w:rFonts w:ascii="Arial" w:cs="Arial" w:eastAsia="Arial" w:hAnsi="Arial"/>
          <w:b w:val="false"/>
          <w:bCs w:val="false"/>
          <w:i w:val="false"/>
          <w:iCs w:val="false"/>
          <w:color w:val="1A1A1A"/>
          <w:sz w:val="20"/>
          <w:szCs w:val="20"/>
        </w:rPr>
        <w:t xml:space="preserve">A human analyst. This is a decision-support system — the analyst consults the Price Block before making a specific call. It is not an automated alert or a trading signal. The analyst needs to understand why the score says what it says, not just what it says.</w:t>
      </w:r>
    </w:p>
    <w:p>
      <w:pPr>
        <w:spacing w:after="80" w:before="80"/>
      </w:pPr>
      <w:r>
        <w:t xml:space="preserve"/>
      </w:r>
    </w:p>
    <w:p>
      <w:pPr>
        <w:spacing w:after="80" w:before="60"/>
      </w:pPr>
      <w:r>
        <w:rPr>
          <w:rFonts w:ascii="Arial" w:cs="Arial" w:eastAsia="Arial" w:hAnsi="Arial"/>
          <w:b/>
          <w:bCs/>
          <w:i w:val="false"/>
          <w:iCs w:val="false"/>
          <w:color w:val="1A1A1A"/>
          <w:sz w:val="20"/>
          <w:szCs w:val="20"/>
        </w:rPr>
        <w:t xml:space="preserve">This means: explainability is a hard requirement. Every number in the output must be traceable back to a method. Simple, auditable models are preferred over black-box accuracy.</w:t>
      </w:r>
    </w:p>
    <w:p>
      <w:pPr>
        <w:spacing w:after="80" w:before="80"/>
      </w:pPr>
      <w:r>
        <w:t xml:space="preserve"/>
      </w:r>
    </w:p>
    <w:p>
      <w:pPr>
        <w:pStyle w:val="Heading2"/>
        <w:spacing w:after="100" w:before="280"/>
      </w:pPr>
      <w:r>
        <w:rPr>
          <w:rFonts w:ascii="Arial" w:cs="Arial" w:eastAsia="Arial" w:hAnsi="Arial"/>
          <w:b/>
          <w:bCs/>
          <w:color w:val="008866"/>
          <w:sz w:val="23"/>
          <w:szCs w:val="23"/>
        </w:rPr>
        <w:t xml:space="preserve">Commodities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Commodity</w:t>
            </w:r>
          </w:p>
        </w:tc>
        <w:tc>
          <w:tcPr>
            <w:tcW w:type="dxa" w:w="30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Identifier in data</w:t>
            </w:r>
          </w:p>
        </w:tc>
        <w:tc>
          <w:tcPr>
            <w:tcW w:type="dxa" w:w="396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Exchange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Copper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copper_lme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London Metal Exchange (LME)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Nickel</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nickel_lme</w:t>
            </w:r>
          </w:p>
        </w:tc>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London Metal Exchange (LME)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Aluminium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aluminium_lme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London Metal Exchange (LME)</w:t>
            </w:r>
          </w:p>
        </w:tc>
      </w:tr>
    </w:tbl>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The system must process all three commodities independently. Each commodity produces its own output block. Do not average or aggregate across commodities.</w:t>
      </w:r>
    </w:p>
    <w:p>
      <w:r>
        <w:br w:type="page"/>
      </w:r>
    </w:p>
    <w:p>
      <w:pPr>
        <w:pStyle w:val="Heading1"/>
        <w:pBdr>
          <w:bottom w:val="single" w:color="008866" w:sz="10" w:space="6"/>
        </w:pBdr>
        <w:spacing w:after="140" w:before="400"/>
      </w:pPr>
      <w:r>
        <w:rPr>
          <w:rFonts w:ascii="Arial" w:cs="Arial" w:eastAsia="Arial" w:hAnsi="Arial"/>
          <w:b/>
          <w:bCs/>
          <w:color w:val="1A1A1A"/>
          <w:sz w:val="30"/>
          <w:szCs w:val="30"/>
        </w:rPr>
        <w:t xml:space="preserve">2 · Data Input</w:t>
      </w:r>
    </w:p>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The Price Block reads from a single CSV file. This is the only data dependency.</w:t>
      </w:r>
    </w:p>
    <w:p>
      <w:pPr>
        <w:spacing w:after="80" w:before="80"/>
      </w:pPr>
      <w:r>
        <w:t xml:space="preserve"/>
      </w:r>
    </w:p>
    <w:p>
      <w:pPr>
        <w:pStyle w:val="Heading2"/>
        <w:spacing w:after="100" w:before="280"/>
      </w:pPr>
      <w:r>
        <w:rPr>
          <w:rFonts w:ascii="Arial" w:cs="Arial" w:eastAsia="Arial" w:hAnsi="Arial"/>
          <w:b/>
          <w:bCs/>
          <w:color w:val="008866"/>
          <w:sz w:val="23"/>
          <w:szCs w:val="23"/>
        </w:rPr>
        <w:t xml:space="preserve">File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30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96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Format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CSV (.csv)</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Comma-separated, UTF-8 encoded</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Filename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prices.csv</w:t>
            </w:r>
          </w:p>
        </w:tc>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Configurable — set via config parameter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Required columns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date, commodity, price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Exact names, case-sensitive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Date format</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ISO 8601 timestamp</w:t>
            </w:r>
          </w:p>
        </w:tc>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2020-01-02T00:00:00.000000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Frequency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Daily — trading days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Weekends and holidays absent, no gaps to fill</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Commodity values</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copper_lme, nickel_lme, aluminium_lme</w:t>
            </w:r>
          </w:p>
        </w:tc>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Exact strings, case-sensitive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Price unit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USD per metric tonne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LME cash settlement price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Current coverage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Jan 2020 to Apr 2026</w:t>
            </w:r>
          </w:p>
        </w:tc>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Approximately 4,700 rows total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Rows per commodity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~1,567 trading days each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Verify on load</w:t>
            </w:r>
          </w:p>
        </w:tc>
      </w:tr>
    </w:tbl>
    <w:p>
      <w:pPr>
        <w:spacing w:after="80" w:before="80"/>
      </w:pPr>
      <w:r>
        <w:t xml:space="preserve"/>
      </w:r>
    </w:p>
    <w:p>
      <w:pPr>
        <w:pStyle w:val="Heading2"/>
        <w:spacing w:after="100" w:before="280"/>
      </w:pPr>
      <w:r>
        <w:rPr>
          <w:rFonts w:ascii="Arial" w:cs="Arial" w:eastAsia="Arial" w:hAnsi="Arial"/>
          <w:b/>
          <w:bCs/>
          <w:color w:val="008866"/>
          <w:sz w:val="23"/>
          <w:szCs w:val="23"/>
        </w:rPr>
        <w:t xml:space="preserve">File structure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5F5F5" w:val="clear"/>
            <w:tcMar>
              <w:top w:type="dxa" w:w="120"/>
              <w:left w:type="dxa" w:w="200"/>
              <w:bottom w:type="dxa" w:w="120"/>
              <w:right w:type="dxa" w:w="140"/>
            </w:tcMar>
          </w:tcPr>
          <w:p>
            <w:pPr>
              <w:spacing w:after="20" w:before="20"/>
            </w:pPr>
            <w:r>
              <w:rPr>
                <w:rFonts w:ascii="Courier New" w:cs="Courier New" w:eastAsia="Courier New" w:hAnsi="Courier New"/>
                <w:color w:val="333333"/>
                <w:sz w:val="18"/>
                <w:szCs w:val="18"/>
              </w:rPr>
              <w:t xml:space="preserve">date,commodity,price</w:t>
            </w:r>
          </w:p>
          <w:p>
            <w:pPr>
              <w:spacing w:after="20" w:before="20"/>
            </w:pPr>
            <w:r>
              <w:rPr>
                <w:rFonts w:ascii="Courier New" w:cs="Courier New" w:eastAsia="Courier New" w:hAnsi="Courier New"/>
                <w:color w:val="333333"/>
                <w:sz w:val="18"/>
                <w:szCs w:val="18"/>
              </w:rPr>
              <w:t xml:space="preserve">2020-01-02T00:00:00.000000,copper_lme,6165.5089364244</w:t>
            </w:r>
          </w:p>
          <w:p>
            <w:pPr>
              <w:spacing w:after="20" w:before="20"/>
            </w:pPr>
            <w:r>
              <w:rPr>
                <w:rFonts w:ascii="Courier New" w:cs="Courier New" w:eastAsia="Courier New" w:hAnsi="Courier New"/>
                <w:color w:val="333333"/>
                <w:sz w:val="18"/>
                <w:szCs w:val="18"/>
              </w:rPr>
              <w:t xml:space="preserve">2020-01-02T00:00:00.000000,nickel_lme,14075.0204006445</w:t>
            </w:r>
          </w:p>
          <w:p>
            <w:pPr>
              <w:spacing w:after="20" w:before="20"/>
            </w:pPr>
            <w:r>
              <w:rPr>
                <w:rFonts w:ascii="Courier New" w:cs="Courier New" w:eastAsia="Courier New" w:hAnsi="Courier New"/>
                <w:color w:val="333333"/>
                <w:sz w:val="18"/>
                <w:szCs w:val="18"/>
              </w:rPr>
              <w:t xml:space="preserve">2020-01-02T00:00:00.000000,aluminium_lme,1772.0025683795</w:t>
            </w:r>
          </w:p>
          <w:p>
            <w:pPr>
              <w:spacing w:after="20" w:before="20"/>
            </w:pPr>
            <w:r>
              <w:rPr>
                <w:rFonts w:ascii="Courier New" w:cs="Courier New" w:eastAsia="Courier New" w:hAnsi="Courier New"/>
                <w:color w:val="333333"/>
                <w:sz w:val="18"/>
                <w:szCs w:val="18"/>
              </w:rPr>
              <w:t xml:space="preserve">2020-01-03T00:00:00.000000,aluminium_lme,1758.0025480876</w:t>
            </w:r>
          </w:p>
          <w:p>
            <w:pPr>
              <w:spacing w:after="20" w:before="20"/>
            </w:pPr>
            <w:r>
              <w:rPr>
                <w:rFonts w:ascii="Courier New" w:cs="Courier New" w:eastAsia="Courier New" w:hAnsi="Courier New"/>
                <w:color w:val="333333"/>
                <w:sz w:val="18"/>
                <w:szCs w:val="18"/>
              </w:rPr>
              <w:t xml:space="preserve">2020-01-03T00:00:00.000000,copper_lme,6077.0088081504</w:t>
            </w:r>
          </w:p>
          <w:p>
            <w:pPr>
              <w:spacing w:after="20" w:before="20"/>
            </w:pPr>
            <w:r>
              <w:rPr>
                <w:rFonts w:ascii="Courier New" w:cs="Courier New" w:eastAsia="Courier New" w:hAnsi="Courier New"/>
                <w:color w:val="333333"/>
                <w:sz w:val="18"/>
                <w:szCs w:val="18"/>
              </w:rPr>
              <w:t xml:space="preserve">...</w:t>
            </w:r>
          </w:p>
        </w:tc>
      </w:tr>
    </w:tbl>
    <w:p>
      <w:pPr>
        <w:spacing w:after="80" w:before="80"/>
      </w:pPr>
      <w:r>
        <w:t xml:space="preserve"/>
      </w:r>
    </w:p>
    <w:p>
      <w:pPr>
        <w:pStyle w:val="Heading2"/>
        <w:spacing w:after="100" w:before="280"/>
      </w:pPr>
      <w:r>
        <w:rPr>
          <w:rFonts w:ascii="Arial" w:cs="Arial" w:eastAsia="Arial" w:hAnsi="Arial"/>
          <w:b/>
          <w:bCs/>
          <w:color w:val="008866"/>
          <w:sz w:val="23"/>
          <w:szCs w:val="23"/>
        </w:rPr>
        <w:t xml:space="preserve">Data prep — required steps in order</w:t>
      </w:r>
    </w:p>
    <w:p>
      <w:pPr>
        <w:spacing w:after="80" w:before="60"/>
      </w:pPr>
      <w:r>
        <w:rPr>
          <w:rFonts w:ascii="Arial" w:cs="Arial" w:eastAsia="Arial" w:hAnsi="Arial"/>
          <w:b w:val="false"/>
          <w:bCs w:val="false"/>
          <w:i w:val="false"/>
          <w:iCs w:val="false"/>
          <w:color w:val="1A1A1A"/>
          <w:sz w:val="20"/>
          <w:szCs w:val="20"/>
        </w:rPr>
        <w:t xml:space="preserve">Execute these steps before any engine runs: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5F5F5" w:val="clear"/>
            <w:tcMar>
              <w:top w:type="dxa" w:w="120"/>
              <w:left w:type="dxa" w:w="200"/>
              <w:bottom w:type="dxa" w:w="120"/>
              <w:right w:type="dxa" w:w="140"/>
            </w:tcMar>
          </w:tcPr>
          <w:p>
            <w:pPr>
              <w:spacing w:after="20" w:before="20"/>
            </w:pPr>
            <w:r>
              <w:rPr>
                <w:rFonts w:ascii="Courier New" w:cs="Courier New" w:eastAsia="Courier New" w:hAnsi="Courier New"/>
                <w:color w:val="333333"/>
                <w:sz w:val="18"/>
                <w:szCs w:val="18"/>
              </w:rPr>
              <w:t xml:space="preserve">Step 1  Load CSV. Parse date column as datetime. Sort ascending by date.</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Step 2  Pivot to wide format:</w:t>
            </w:r>
          </w:p>
          <w:p>
            <w:pPr>
              <w:spacing w:after="20" w:before="20"/>
            </w:pPr>
            <w:r>
              <w:rPr>
                <w:rFonts w:ascii="Courier New" w:cs="Courier New" w:eastAsia="Courier New" w:hAnsi="Courier New"/>
                <w:color w:val="333333"/>
                <w:sz w:val="18"/>
                <w:szCs w:val="18"/>
              </w:rPr>
              <w:t xml:space="preserve">          rows    = trading days</w:t>
            </w:r>
          </w:p>
          <w:p>
            <w:pPr>
              <w:spacing w:after="20" w:before="20"/>
            </w:pPr>
            <w:r>
              <w:rPr>
                <w:rFonts w:ascii="Courier New" w:cs="Courier New" w:eastAsia="Courier New" w:hAnsi="Courier New"/>
                <w:color w:val="333333"/>
                <w:sz w:val="18"/>
                <w:szCs w:val="18"/>
              </w:rPr>
              <w:t xml:space="preserve">          columns = one per commodity (copper_lme, nickel_lme, aluminium_lme)</w:t>
            </w:r>
          </w:p>
          <w:p>
            <w:pPr>
              <w:spacing w:after="20" w:before="20"/>
            </w:pPr>
            <w:r>
              <w:rPr>
                <w:rFonts w:ascii="Courier New" w:cs="Courier New" w:eastAsia="Courier New" w:hAnsi="Courier New"/>
                <w:color w:val="333333"/>
                <w:sz w:val="18"/>
                <w:szCs w:val="18"/>
              </w:rPr>
              <w:t xml:space="preserve">          values  = price</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Step 3  Validate. For each commodity:</w:t>
            </w:r>
          </w:p>
          <w:p>
            <w:pPr>
              <w:spacing w:after="20" w:before="20"/>
            </w:pPr>
            <w:r>
              <w:rPr>
                <w:rFonts w:ascii="Courier New" w:cs="Courier New" w:eastAsia="Courier New" w:hAnsi="Courier New"/>
                <w:color w:val="333333"/>
                <w:sz w:val="18"/>
                <w:szCs w:val="18"/>
              </w:rPr>
              <w:t xml:space="preserve">          - No missing prices within the series</w:t>
            </w:r>
          </w:p>
          <w:p>
            <w:pPr>
              <w:spacing w:after="20" w:before="20"/>
            </w:pPr>
            <w:r>
              <w:rPr>
                <w:rFonts w:ascii="Courier New" w:cs="Courier New" w:eastAsia="Courier New" w:hAnsi="Courier New"/>
                <w:color w:val="333333"/>
                <w:sz w:val="18"/>
                <w:szCs w:val="18"/>
              </w:rPr>
              <w:t xml:space="preserve">          - Minimum 500 trading days available (required for S3 medium-term signal)</w:t>
            </w:r>
          </w:p>
          <w:p>
            <w:pPr>
              <w:spacing w:after="20" w:before="20"/>
            </w:pPr>
            <w:r>
              <w:rPr>
                <w:rFonts w:ascii="Courier New" w:cs="Courier New" w:eastAsia="Courier New" w:hAnsi="Courier New"/>
                <w:color w:val="333333"/>
                <w:sz w:val="18"/>
                <w:szCs w:val="18"/>
              </w:rPr>
              <w:t xml:space="preserve">          - Raise a clear error if validation fails</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Step 4  Compute DAILY CHANGE series (input to Engine B):</w:t>
            </w:r>
          </w:p>
          <w:p>
            <w:pPr>
              <w:spacing w:after="20" w:before="20"/>
            </w:pPr>
            <w:r>
              <w:rPr>
                <w:rFonts w:ascii="Courier New" w:cs="Courier New" w:eastAsia="Courier New" w:hAnsi="Courier New"/>
                <w:color w:val="333333"/>
                <w:sz w:val="18"/>
                <w:szCs w:val="18"/>
              </w:rPr>
              <w:t xml:space="preserve">          daily_change_t = Price_t / Price_t-1</w:t>
            </w:r>
          </w:p>
          <w:p>
            <w:pPr>
              <w:spacing w:after="20" w:before="20"/>
            </w:pPr>
            <w:r>
              <w:rPr>
                <w:rFonts w:ascii="Courier New" w:cs="Courier New" w:eastAsia="Courier New" w:hAnsi="Courier New"/>
                <w:color w:val="333333"/>
                <w:sz w:val="18"/>
                <w:szCs w:val="18"/>
              </w:rPr>
              <w:t xml:space="preserve">          Series oscillates around 1.0</w:t>
            </w:r>
          </w:p>
          <w:p>
            <w:pPr>
              <w:spacing w:after="20" w:before="20"/>
            </w:pPr>
            <w:r>
              <w:rPr>
                <w:rFonts w:ascii="Courier New" w:cs="Courier New" w:eastAsia="Courier New" w:hAnsi="Courier New"/>
                <w:color w:val="333333"/>
                <w:sz w:val="18"/>
                <w:szCs w:val="18"/>
              </w:rPr>
              <w:t xml:space="preserve">          Values &gt; 1.0 = price up, &lt; 1.0 = price down</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Step 5  Compute LOG-RETURN series (input to Engine A regression signals):</w:t>
            </w:r>
          </w:p>
          <w:p>
            <w:pPr>
              <w:spacing w:after="20" w:before="20"/>
            </w:pPr>
            <w:r>
              <w:rPr>
                <w:rFonts w:ascii="Courier New" w:cs="Courier New" w:eastAsia="Courier New" w:hAnsi="Courier New"/>
                <w:color w:val="333333"/>
                <w:sz w:val="18"/>
                <w:szCs w:val="18"/>
              </w:rPr>
              <w:t xml:space="preserve">          log_return_t = log( Price_t / Price_t-1 )</w:t>
            </w:r>
          </w:p>
          <w:p>
            <w:pPr>
              <w:spacing w:after="20" w:before="20"/>
            </w:pPr>
            <w:r>
              <w:rPr>
                <w:rFonts w:ascii="Courier New" w:cs="Courier New" w:eastAsia="Courier New" w:hAnsi="Courier New"/>
                <w:color w:val="333333"/>
                <w:sz w:val="18"/>
                <w:szCs w:val="18"/>
              </w:rPr>
              <w:t xml:space="preserve">          Series oscillates around 0</w:t>
            </w:r>
          </w:p>
          <w:p>
            <w:pPr>
              <w:spacing w:after="20" w:before="20"/>
            </w:pPr>
            <w:r>
              <w:rPr>
                <w:rFonts w:ascii="Courier New" w:cs="Courier New" w:eastAsia="Courier New" w:hAnsi="Courier New"/>
                <w:color w:val="333333"/>
                <w:sz w:val="18"/>
                <w:szCs w:val="18"/>
              </w:rPr>
              <w:t xml:space="preserve">          Used for S2 and S3 regression signals only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B45309" w:sz="18"/>
              <w:bottom w:val="single" w:color="CCCCCC" w:sz="1"/>
              <w:right w:val="single" w:color="CCCCCC" w:sz="1"/>
            </w:tcBorders>
            <w:shd w:fill="FFFBEB" w:val="clear"/>
            <w:tcMar>
              <w:top w:type="dxa" w:w="100"/>
              <w:left w:type="dxa" w:w="180"/>
              <w:bottom w:type="dxa" w:w="100"/>
              <w:right w:type="dxa" w:w="140"/>
            </w:tcMar>
          </w:tcPr>
          <w:p>
            <w:pPr>
              <w:spacing w:after="40" w:before="0"/>
            </w:pPr>
            <w:r>
              <w:rPr>
                <w:rFonts w:ascii="Arial" w:cs="Arial" w:eastAsia="Arial" w:hAnsi="Arial"/>
                <w:b/>
                <w:bCs/>
                <w:caps/>
                <w:color w:val="B45309"/>
                <w:sz w:val="17"/>
                <w:szCs w:val="17"/>
              </w:rPr>
              <w:t xml:space="preserve">IMPORTANT</w:t>
            </w:r>
          </w:p>
          <w:p>
            <w:pPr>
              <w:spacing w:after="0" w:before="0"/>
            </w:pPr>
            <w:r>
              <w:rPr>
                <w:rFonts w:ascii="Arial" w:cs="Arial" w:eastAsia="Arial" w:hAnsi="Arial"/>
                <w:i/>
                <w:iCs/>
                <w:color w:val="1A1A1A"/>
                <w:sz w:val="19"/>
                <w:szCs w:val="19"/>
              </w:rPr>
              <w:t xml:space="preserve">Long-term window (10+ years) is not feasible with current data. The dataset starts January 2020 — approximately 6 years. Do not attempt a long-term regression signal. The medium-term signal (S3) uses 500+ days, which is the maximum meaningful window available.</w:t>
            </w:r>
          </w:p>
        </w:tc>
      </w:tr>
    </w:tbl>
    <w:p>
      <w:r>
        <w:br w:type="page"/>
      </w:r>
    </w:p>
    <w:p>
      <w:pPr>
        <w:pStyle w:val="Heading1"/>
        <w:pBdr>
          <w:bottom w:val="single" w:color="008866" w:sz="10" w:space="6"/>
        </w:pBdr>
        <w:spacing w:after="140" w:before="400"/>
      </w:pPr>
      <w:r>
        <w:rPr>
          <w:rFonts w:ascii="Arial" w:cs="Arial" w:eastAsia="Arial" w:hAnsi="Arial"/>
          <w:b/>
          <w:bCs/>
          <w:color w:val="1A1A1A"/>
          <w:sz w:val="30"/>
          <w:szCs w:val="30"/>
        </w:rPr>
        <w:t xml:space="preserve">3 · Architecture Overview</w:t>
      </w:r>
    </w:p>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The Price Block has two internal engines. They run independently, each producing a normalized score. The two scores are combined into a Final Score. The Final Score drives all three outputs: score, signal, and flag.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5F5F5" w:val="clear"/>
            <w:tcMar>
              <w:top w:type="dxa" w:w="120"/>
              <w:left w:type="dxa" w:w="200"/>
              <w:bottom w:type="dxa" w:w="120"/>
              <w:right w:type="dxa" w:w="140"/>
            </w:tcMar>
          </w:tcPr>
          <w:p>
            <w:pPr>
              <w:spacing w:after="20" w:before="20"/>
            </w:pPr>
            <w:r>
              <w:rPr>
                <w:rFonts w:ascii="Courier New" w:cs="Courier New" w:eastAsia="Courier New" w:hAnsi="Courier New"/>
                <w:color w:val="333333"/>
                <w:sz w:val="18"/>
                <w:szCs w:val="18"/>
              </w:rPr>
              <w:t xml:space="preserve">prices.csv</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 data prep (Step 2 above)</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                                              |</w:t>
            </w:r>
          </w:p>
          <w:p>
            <w:pPr>
              <w:spacing w:after="20" w:before="20"/>
            </w:pPr>
            <w:r>
              <w:rPr>
                <w:rFonts w:ascii="Courier New" w:cs="Courier New" w:eastAsia="Courier New" w:hAnsi="Courier New"/>
                <w:color w:val="333333"/>
                <w:sz w:val="18"/>
                <w:szCs w:val="18"/>
              </w:rPr>
              <w:t xml:space="preserve">     v                                              v</w:t>
            </w:r>
          </w:p>
          <w:p>
            <w:pPr>
              <w:spacing w:after="20" w:before="20"/>
            </w:pPr>
            <w:r>
              <w:rPr>
                <w:rFonts w:ascii="Courier New" w:cs="Courier New" w:eastAsia="Courier New" w:hAnsi="Courier New"/>
                <w:color w:val="333333"/>
                <w:sz w:val="18"/>
                <w:szCs w:val="18"/>
              </w:rPr>
              <w:t xml:space="preserve">ENGINE A                                       ENGINE B</w:t>
            </w:r>
          </w:p>
          <w:p>
            <w:pPr>
              <w:spacing w:after="20" w:before="20"/>
            </w:pPr>
            <w:r>
              <w:rPr>
                <w:rFonts w:ascii="Courier New" w:cs="Courier New" w:eastAsia="Courier New" w:hAnsi="Courier New"/>
                <w:color w:val="333333"/>
                <w:sz w:val="18"/>
                <w:szCs w:val="18"/>
              </w:rPr>
              <w:t xml:space="preserve">Price Evolution (backward)                     Price Forecasting (forward)</w:t>
            </w:r>
          </w:p>
          <w:p>
            <w:pPr>
              <w:spacing w:after="20" w:before="20"/>
            </w:pPr>
            <w:r>
              <w:rPr>
                <w:rFonts w:ascii="Courier New" w:cs="Courier New" w:eastAsia="Courier New" w:hAnsi="Courier New"/>
                <w:color w:val="333333"/>
                <w:sz w:val="18"/>
                <w:szCs w:val="18"/>
              </w:rPr>
              <w:t xml:space="preserve">  S1  Tactical momentum   (ROC 20d)              B1  ARIMA on daily_change</w:t>
            </w:r>
          </w:p>
          <w:p>
            <w:pPr>
              <w:spacing w:after="20" w:before="20"/>
            </w:pPr>
            <w:r>
              <w:rPr>
                <w:rFonts w:ascii="Courier New" w:cs="Courier New" w:eastAsia="Courier New" w:hAnsi="Courier New"/>
                <w:color w:val="333333"/>
                <w:sz w:val="18"/>
                <w:szCs w:val="18"/>
              </w:rPr>
              <w:t xml:space="preserve">  S2  Short-term trend    (log-reg 250d)          B2  GARCH on daily_change</w:t>
            </w:r>
          </w:p>
          <w:p>
            <w:pPr>
              <w:spacing w:after="20" w:before="20"/>
            </w:pPr>
            <w:r>
              <w:rPr>
                <w:rFonts w:ascii="Courier New" w:cs="Courier New" w:eastAsia="Courier New" w:hAnsi="Courier New"/>
                <w:color w:val="333333"/>
                <w:sz w:val="18"/>
                <w:szCs w:val="18"/>
              </w:rPr>
              <w:t xml:space="preserve">  S3  Medium-term trend   (log-reg 500d+)             |</w:t>
            </w:r>
          </w:p>
          <w:p>
            <w:pPr>
              <w:spacing w:after="20" w:before="20"/>
            </w:pPr>
            <w:r>
              <w:rPr>
                <w:rFonts w:ascii="Courier New" w:cs="Courier New" w:eastAsia="Courier New" w:hAnsi="Courier New"/>
                <w:color w:val="333333"/>
                <w:sz w:val="18"/>
                <w:szCs w:val="18"/>
              </w:rPr>
              <w:t xml:space="preserve">  S4  Historical vol      (rolling std 20d)           |</w:t>
            </w:r>
          </w:p>
          <w:p>
            <w:pPr>
              <w:spacing w:after="20" w:before="20"/>
            </w:pPr>
            <w:r>
              <w:rPr>
                <w:rFonts w:ascii="Courier New" w:cs="Courier New" w:eastAsia="Courier New" w:hAnsi="Courier New"/>
                <w:color w:val="333333"/>
                <w:sz w:val="18"/>
                <w:szCs w:val="18"/>
              </w:rPr>
              <w:t xml:space="preserve">     |                                              |</w:t>
            </w:r>
          </w:p>
          <w:p>
            <w:pPr>
              <w:spacing w:after="20" w:before="20"/>
            </w:pPr>
            <w:r>
              <w:rPr>
                <w:rFonts w:ascii="Courier New" w:cs="Courier New" w:eastAsia="Courier New" w:hAnsi="Courier New"/>
                <w:color w:val="333333"/>
                <w:sz w:val="18"/>
                <w:szCs w:val="18"/>
              </w:rPr>
              <w:t xml:space="preserve">     v                                              v</w:t>
            </w:r>
          </w:p>
          <w:p>
            <w:pPr>
              <w:spacing w:after="20" w:before="20"/>
            </w:pPr>
            <w:r>
              <w:rPr>
                <w:rFonts w:ascii="Courier New" w:cs="Courier New" w:eastAsia="Courier New" w:hAnsi="Courier New"/>
                <w:color w:val="333333"/>
                <w:sz w:val="18"/>
                <w:szCs w:val="18"/>
              </w:rPr>
              <w:t xml:space="preserve">  Score A  (-1 to +1)                          Score B  (-1 to +1)</w:t>
            </w:r>
          </w:p>
          <w:p>
            <w:pPr>
              <w:spacing w:after="20" w:before="20"/>
            </w:pPr>
            <w:r>
              <w:rPr>
                <w:rFonts w:ascii="Courier New" w:cs="Courier New" w:eastAsia="Courier New" w:hAnsi="Courier New"/>
                <w:color w:val="333333"/>
                <w:sz w:val="18"/>
                <w:szCs w:val="18"/>
              </w:rPr>
              <w:t xml:space="preserve">     |                                              |</w:t>
            </w:r>
          </w:p>
          <w:p>
            <w:pPr>
              <w:spacing w:after="20" w:before="20"/>
            </w:pPr>
            <w:r>
              <w:rPr>
                <w:rFonts w:ascii="Courier New" w:cs="Courier New" w:eastAsia="Courier New" w:hAnsi="Courier New"/>
                <w:color w:val="333333"/>
                <w:sz w:val="18"/>
                <w:szCs w:val="18"/>
              </w:rPr>
              <w:t xml:space="preserve">     +──────────── Final Score ────────────────────+</w:t>
            </w:r>
          </w:p>
          <w:p>
            <w:pPr>
              <w:spacing w:after="20" w:before="20"/>
            </w:pPr>
            <w:r>
              <w:rPr>
                <w:rFonts w:ascii="Courier New" w:cs="Courier New" w:eastAsia="Courier New" w:hAnsi="Courier New"/>
                <w:color w:val="333333"/>
                <w:sz w:val="18"/>
                <w:szCs w:val="18"/>
              </w:rPr>
              <w:t xml:space="preserve">                 (0.60 x A) + (0.40 x B)</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              |               |</w:t>
            </w:r>
          </w:p>
          <w:p>
            <w:pPr>
              <w:spacing w:after="20" w:before="20"/>
            </w:pPr>
            <w:r>
              <w:rPr>
                <w:rFonts w:ascii="Courier New" w:cs="Courier New" w:eastAsia="Courier New" w:hAnsi="Courier New"/>
                <w:color w:val="333333"/>
                <w:sz w:val="18"/>
                <w:szCs w:val="18"/>
              </w:rPr>
              <w:t xml:space="preserve">       Score           Signal           Flag</w:t>
            </w:r>
          </w:p>
          <w:p>
            <w:pPr>
              <w:spacing w:after="20" w:before="20"/>
            </w:pPr>
            <w:r>
              <w:rPr>
                <w:rFonts w:ascii="Courier New" w:cs="Courier New" w:eastAsia="Courier New" w:hAnsi="Courier New"/>
                <w:color w:val="333333"/>
                <w:sz w:val="18"/>
                <w:szCs w:val="18"/>
              </w:rPr>
              <w:t xml:space="preserve">     (float)     (Up/Neutral/Down)  (Stable/Watch/Alert)</w:t>
            </w:r>
          </w:p>
          <w:p>
            <w:pPr>
              <w:spacing w:after="20" w:before="20"/>
            </w:pPr>
            <w:r>
              <w:rPr>
                <w:rFonts w:ascii="Courier New" w:cs="Courier New" w:eastAsia="Courier New" w:hAnsi="Courier New"/>
                <w:color w:val="333333"/>
                <w:sz w:val="18"/>
                <w:szCs w:val="18"/>
              </w:rPr>
              <w:t xml:space="preserve">          |              |               |</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Explanation</w:t>
            </w:r>
          </w:p>
          <w:p>
            <w:pPr>
              <w:spacing w:after="20" w:before="20"/>
            </w:pPr>
            <w:r>
              <w:rPr>
                <w:rFonts w:ascii="Courier New" w:cs="Courier New" w:eastAsia="Courier New" w:hAnsi="Courier New"/>
                <w:color w:val="333333"/>
                <w:sz w:val="18"/>
                <w:szCs w:val="18"/>
              </w:rPr>
              <w:t xml:space="preserve">                 (briefing card)</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Output Block</w:t>
            </w:r>
          </w:p>
          <w:p>
            <w:pPr>
              <w:spacing w:after="20" w:before="20"/>
            </w:pPr>
            <w:r>
              <w:rPr>
                <w:rFonts w:ascii="Courier New" w:cs="Courier New" w:eastAsia="Courier New" w:hAnsi="Courier New"/>
                <w:color w:val="333333"/>
                <w:sz w:val="18"/>
                <w:szCs w:val="18"/>
              </w:rPr>
              <w:t xml:space="preserve">               (one per commodity)</w:t>
            </w:r>
          </w:p>
        </w:tc>
      </w:tr>
    </w:tbl>
    <w:p>
      <w:pPr>
        <w:spacing w:after="80" w:before="80"/>
      </w:pPr>
      <w:r>
        <w:t xml:space="preserve"/>
      </w:r>
    </w:p>
    <w:p>
      <w:pPr>
        <w:pStyle w:val="Heading2"/>
        <w:spacing w:after="100" w:before="280"/>
      </w:pPr>
      <w:r>
        <w:rPr>
          <w:rFonts w:ascii="Arial" w:cs="Arial" w:eastAsia="Arial" w:hAnsi="Arial"/>
          <w:b/>
          <w:bCs/>
          <w:color w:val="008866"/>
          <w:sz w:val="23"/>
          <w:szCs w:val="23"/>
        </w:rPr>
        <w:t xml:space="preserve">Key design principle — slot architecture</w:t>
      </w:r>
    </w:p>
    <w:p>
      <w:pPr>
        <w:spacing w:after="80" w:before="60"/>
      </w:pPr>
      <w:r>
        <w:rPr>
          <w:rFonts w:ascii="Arial" w:cs="Arial" w:eastAsia="Arial" w:hAnsi="Arial"/>
          <w:b w:val="false"/>
          <w:bCs w:val="false"/>
          <w:i w:val="false"/>
          <w:iCs w:val="false"/>
          <w:color w:val="1A1A1A"/>
          <w:sz w:val="20"/>
          <w:szCs w:val="20"/>
        </w:rPr>
        <w:t xml:space="preserve">Every signal and model is a slot. The method inside a slot can be upgraded later without changing anything else in the system. The rule is: any slot output must remain a number between -1 and +1 (for scored signals) or Low / Moderate / High (for volatility classifications). As long as the output contract holds, the internals can change freely.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c>
          <w:tcPr>
            <w:tcW w:type="dxa" w:w="22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Slot</w:t>
            </w:r>
          </w:p>
        </w:tc>
        <w:tc>
          <w:tcPr>
            <w:tcW w:type="dxa" w:w="296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Current Method</w:t>
            </w:r>
          </w:p>
        </w:tc>
        <w:tc>
          <w:tcPr>
            <w:tcW w:type="dxa" w:w="42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Upgrade Path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S1 — Tactical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ROC 20 days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RSI, EMA crossover, any momentum indicator</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S2 — Short-term</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Log-return regression 250 days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Moving averages, Kalman filter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S3 — Medium-term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Log-return regression 500+ days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Structural break models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S4 — Historical vol</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Rolling std 20 days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GARCH on historical window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B1 — ARIMA direction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Auto-ARIMA on daily_change, t+30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Prophet, LSTM, ensemble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B2 — GARCH fwd vol</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GARCH on daily_change, t+30</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Stochastic volatility 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Calibration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Static — run once at setup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Rolling window every N months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Data input</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CSV file</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Database connection, API feed</w:t>
            </w:r>
          </w:p>
        </w:tc>
      </w:tr>
    </w:tbl>
    <w:p>
      <w:r>
        <w:br w:type="page"/>
      </w:r>
    </w:p>
    <w:p>
      <w:pPr>
        <w:pStyle w:val="Heading1"/>
        <w:pBdr>
          <w:bottom w:val="single" w:color="008866" w:sz="10" w:space="6"/>
        </w:pBdr>
        <w:spacing w:after="140" w:before="400"/>
      </w:pPr>
      <w:r>
        <w:rPr>
          <w:rFonts w:ascii="Arial" w:cs="Arial" w:eastAsia="Arial" w:hAnsi="Arial"/>
          <w:b/>
          <w:bCs/>
          <w:color w:val="1A1A1A"/>
          <w:sz w:val="30"/>
          <w:szCs w:val="30"/>
        </w:rPr>
        <w:t xml:space="preserve">4 · Engine A — Price Evolution  (weight in Final Score: 60%)</w:t>
      </w:r>
    </w:p>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Engine A answers: what has this commodity been doing? It is entirely backward-looking. It runs four signals across different time windows and combines them into a single Score A.</w:t>
      </w:r>
    </w:p>
    <w:p>
      <w:pPr>
        <w:spacing w:after="80" w:before="80"/>
      </w:pPr>
      <w:r>
        <w:t xml:space="preserve"/>
      </w:r>
    </w:p>
    <w:p>
      <w:pPr>
        <w:pStyle w:val="Heading2"/>
        <w:spacing w:after="100" w:before="280"/>
      </w:pPr>
      <w:r>
        <w:rPr>
          <w:rFonts w:ascii="Arial" w:cs="Arial" w:eastAsia="Arial" w:hAnsi="Arial"/>
          <w:b/>
          <w:bCs/>
          <w:color w:val="008866"/>
          <w:sz w:val="23"/>
          <w:szCs w:val="23"/>
        </w:rPr>
        <w:t xml:space="preserve">Time window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c>
          <w:tcPr>
            <w:tcW w:type="dxa" w:w="18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Window name</w:t>
            </w:r>
          </w:p>
        </w:tc>
        <w:tc>
          <w:tcPr>
            <w:tcW w:type="dxa" w:w="20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18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Trading days</w:t>
            </w:r>
          </w:p>
        </w:tc>
        <w:tc>
          <w:tcPr>
            <w:tcW w:type="dxa" w:w="376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Used 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Tactical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Less than 30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 trading days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S1 — ROC</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Short-term</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1 to 18 months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250 trading days</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S2 — log-return regression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Medium-term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 to 5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500+ trading days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S3 — log-return regression</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Long-term</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10+ years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Not feasible</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Not built — data starts 2020</w:t>
            </w:r>
          </w:p>
        </w:tc>
      </w:tr>
    </w:tbl>
    <w:p>
      <w:pPr>
        <w:spacing w:after="80" w:before="80"/>
      </w:pPr>
      <w:r>
        <w:t xml:space="preserve"/>
      </w:r>
    </w:p>
    <w:p>
      <w:pPr>
        <w:pStyle w:val="Heading2"/>
        <w:spacing w:after="100" w:before="280"/>
      </w:pPr>
      <w:r>
        <w:rPr>
          <w:rFonts w:ascii="Arial" w:cs="Arial" w:eastAsia="Arial" w:hAnsi="Arial"/>
          <w:b/>
          <w:bCs/>
          <w:color w:val="008866"/>
          <w:sz w:val="23"/>
          <w:szCs w:val="23"/>
        </w:rPr>
        <w:t xml:space="preserve">S1 — Tactical momentum (weight: 0.30)</w:t>
      </w:r>
    </w:p>
    <w:p>
      <w:pPr>
        <w:spacing w:after="80" w:before="60"/>
      </w:pPr>
      <w:r>
        <w:rPr>
          <w:rFonts w:ascii="Arial" w:cs="Arial" w:eastAsia="Arial" w:hAnsi="Arial"/>
          <w:b w:val="false"/>
          <w:bCs w:val="false"/>
          <w:i w:val="false"/>
          <w:iCs w:val="false"/>
          <w:color w:val="1A1A1A"/>
          <w:sz w:val="20"/>
          <w:szCs w:val="20"/>
        </w:rPr>
        <w:t xml:space="preserve">Method: Rate of Change (ROC) over the last 20 trading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5F5F5" w:val="clear"/>
            <w:tcMar>
              <w:top w:type="dxa" w:w="120"/>
              <w:left w:type="dxa" w:w="200"/>
              <w:bottom w:type="dxa" w:w="120"/>
              <w:right w:type="dxa" w:w="140"/>
            </w:tcMar>
          </w:tcPr>
          <w:p>
            <w:pPr>
              <w:spacing w:after="20" w:before="20"/>
            </w:pPr>
            <w:r>
              <w:rPr>
                <w:rFonts w:ascii="Courier New" w:cs="Courier New" w:eastAsia="Courier New" w:hAnsi="Courier New"/>
                <w:color w:val="333333"/>
                <w:sz w:val="18"/>
                <w:szCs w:val="18"/>
              </w:rPr>
              <w:t xml:space="preserve">ROC = (Price_today - Price_20d_ago) / Price_20d_ago</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Normalize: S1 = tanh(ROC)</w:t>
            </w:r>
          </w:p>
          <w:p>
            <w:pPr>
              <w:spacing w:after="20" w:before="20"/>
            </w:pPr>
            <w:r>
              <w:rPr>
                <w:rFonts w:ascii="Courier New" w:cs="Courier New" w:eastAsia="Courier New" w:hAnsi="Courier New"/>
                <w:color w:val="333333"/>
                <w:sz w:val="18"/>
                <w:szCs w:val="18"/>
              </w:rPr>
              <w:t xml:space="preserve">  Result range: -1 to +1</w:t>
            </w:r>
          </w:p>
          <w:p>
            <w:pPr>
              <w:spacing w:after="20" w:before="20"/>
            </w:pPr>
            <w:r>
              <w:rPr>
                <w:rFonts w:ascii="Courier New" w:cs="Courier New" w:eastAsia="Courier New" w:hAnsi="Courier New"/>
                <w:color w:val="333333"/>
                <w:sz w:val="18"/>
                <w:szCs w:val="18"/>
              </w:rPr>
              <w:t xml:space="preserve">  Positive = price has risen over 20 days</w:t>
            </w:r>
          </w:p>
          <w:p>
            <w:pPr>
              <w:spacing w:after="20" w:before="20"/>
            </w:pPr>
            <w:r>
              <w:rPr>
                <w:rFonts w:ascii="Courier New" w:cs="Courier New" w:eastAsia="Courier New" w:hAnsi="Courier New"/>
                <w:color w:val="333333"/>
                <w:sz w:val="18"/>
                <w:szCs w:val="18"/>
              </w:rPr>
              <w:t xml:space="preserve">  Negative = price has fallen over 20 days</w:t>
            </w:r>
          </w:p>
        </w:tc>
      </w:tr>
    </w:tbl>
    <w:p>
      <w:pPr>
        <w:spacing w:after="80" w:before="80"/>
      </w:pPr>
      <w:r>
        <w:t xml:space="preserve"/>
      </w:r>
    </w:p>
    <w:p>
      <w:pPr>
        <w:pStyle w:val="Heading2"/>
        <w:spacing w:after="100" w:before="280"/>
      </w:pPr>
      <w:r>
        <w:rPr>
          <w:rFonts w:ascii="Arial" w:cs="Arial" w:eastAsia="Arial" w:hAnsi="Arial"/>
          <w:b/>
          <w:bCs/>
          <w:color w:val="008866"/>
          <w:sz w:val="23"/>
          <w:szCs w:val="23"/>
        </w:rPr>
        <w:t xml:space="preserve">S2 — Short-term trend (weight: 0.30)</w:t>
      </w:r>
    </w:p>
    <w:p>
      <w:pPr>
        <w:spacing w:after="80" w:before="60"/>
      </w:pPr>
      <w:r>
        <w:rPr>
          <w:rFonts w:ascii="Arial" w:cs="Arial" w:eastAsia="Arial" w:hAnsi="Arial"/>
          <w:b w:val="false"/>
          <w:bCs w:val="false"/>
          <w:i w:val="false"/>
          <w:iCs w:val="false"/>
          <w:color w:val="1A1A1A"/>
          <w:sz w:val="20"/>
          <w:szCs w:val="20"/>
        </w:rPr>
        <w:t xml:space="preserve">Method: Linear regression of log-returns on time over the last 250 trading days. The slope of this regression tells us: is the rate of change itself trending up or down over this window?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B45309" w:sz="18"/>
              <w:bottom w:val="single" w:color="CCCCCC" w:sz="1"/>
              <w:right w:val="single" w:color="CCCCCC" w:sz="1"/>
            </w:tcBorders>
            <w:shd w:fill="FFFBEB" w:val="clear"/>
            <w:tcMar>
              <w:top w:type="dxa" w:w="100"/>
              <w:left w:type="dxa" w:w="180"/>
              <w:bottom w:type="dxa" w:w="100"/>
              <w:right w:type="dxa" w:w="140"/>
            </w:tcMar>
          </w:tcPr>
          <w:p>
            <w:pPr>
              <w:spacing w:after="40" w:before="0"/>
            </w:pPr>
            <w:r>
              <w:rPr>
                <w:rFonts w:ascii="Arial" w:cs="Arial" w:eastAsia="Arial" w:hAnsi="Arial"/>
                <w:b/>
                <w:bCs/>
                <w:caps/>
                <w:color w:val="B45309"/>
                <w:sz w:val="17"/>
                <w:szCs w:val="17"/>
              </w:rPr>
              <w:t xml:space="preserve">IMPORTANT</w:t>
            </w:r>
          </w:p>
          <w:p>
            <w:pPr>
              <w:spacing w:after="0" w:before="0"/>
            </w:pPr>
            <w:r>
              <w:rPr>
                <w:rFonts w:ascii="Arial" w:cs="Arial" w:eastAsia="Arial" w:hAnsi="Arial"/>
                <w:i/>
                <w:iCs/>
                <w:color w:val="1A1A1A"/>
                <w:sz w:val="19"/>
                <w:szCs w:val="19"/>
              </w:rPr>
              <w:t xml:space="preserve">Do NOT regress raw prices on time. Raw prices are non-stationary (they drift) and autocorrelated (each price carries memory of the previous one). Both violate core linear regression assumptions. Log-returns are stationary and resolve both violations sufficiently for trend detection purposes.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5F5F5" w:val="clear"/>
            <w:tcMar>
              <w:top w:type="dxa" w:w="120"/>
              <w:left w:type="dxa" w:w="200"/>
              <w:bottom w:type="dxa" w:w="120"/>
              <w:right w:type="dxa" w:w="140"/>
            </w:tcMar>
          </w:tcPr>
          <w:p>
            <w:pPr>
              <w:spacing w:after="20" w:before="20"/>
            </w:pPr>
            <w:r>
              <w:rPr>
                <w:rFonts w:ascii="Courier New" w:cs="Courier New" w:eastAsia="Courier New" w:hAnsi="Courier New"/>
                <w:color w:val="333333"/>
                <w:sz w:val="18"/>
                <w:szCs w:val="18"/>
              </w:rPr>
              <w:t xml:space="preserve">log_returns = log( Price_t / Price_t-1 )  for last 250 days</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Fit: log_return ~ a + b * t   (OLS linear regression)</w:t>
            </w:r>
          </w:p>
          <w:p>
            <w:pPr>
              <w:spacing w:after="20" w:before="20"/>
            </w:pPr>
            <w:r>
              <w:rPr>
                <w:rFonts w:ascii="Courier New" w:cs="Courier New" w:eastAsia="Courier New" w:hAnsi="Courier New"/>
                <w:color w:val="333333"/>
                <w:sz w:val="18"/>
                <w:szCs w:val="18"/>
              </w:rPr>
              <w:t xml:space="preserve">     b = slope = direction and magnitude of trend</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Normalize: S2 = tanh( b * scaling_factor )</w:t>
            </w:r>
          </w:p>
          <w:p>
            <w:pPr>
              <w:spacing w:after="20" w:before="20"/>
            </w:pPr>
            <w:r>
              <w:rPr>
                <w:rFonts w:ascii="Courier New" w:cs="Courier New" w:eastAsia="Courier New" w:hAnsi="Courier New"/>
                <w:color w:val="333333"/>
                <w:sz w:val="18"/>
                <w:szCs w:val="18"/>
              </w:rPr>
              <w:t xml:space="preserve">  scaling_factor: chosen so typical slope values map to -0.5 to +0.5</w:t>
            </w:r>
          </w:p>
          <w:p>
            <w:pPr>
              <w:spacing w:after="20" w:before="20"/>
            </w:pPr>
            <w:r>
              <w:rPr>
                <w:rFonts w:ascii="Courier New" w:cs="Courier New" w:eastAsia="Courier New" w:hAnsi="Courier New"/>
                <w:color w:val="333333"/>
                <w:sz w:val="18"/>
                <w:szCs w:val="18"/>
              </w:rPr>
              <w:t xml:space="preserve">  Adjust empirically after first run on data</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Result range: -1 to +1</w:t>
            </w:r>
          </w:p>
          <w:p>
            <w:pPr>
              <w:spacing w:after="20" w:before="20"/>
            </w:pPr>
            <w:r>
              <w:rPr>
                <w:rFonts w:ascii="Courier New" w:cs="Courier New" w:eastAsia="Courier New" w:hAnsi="Courier New"/>
                <w:color w:val="333333"/>
                <w:sz w:val="18"/>
                <w:szCs w:val="18"/>
              </w:rPr>
              <w:t xml:space="preserve">  Positive slope = positive and strengthening returns over 250 days</w:t>
            </w:r>
          </w:p>
          <w:p>
            <w:pPr>
              <w:spacing w:after="20" w:before="20"/>
            </w:pPr>
            <w:r>
              <w:rPr>
                <w:rFonts w:ascii="Courier New" w:cs="Courier New" w:eastAsia="Courier New" w:hAnsi="Courier New"/>
                <w:color w:val="333333"/>
                <w:sz w:val="18"/>
                <w:szCs w:val="18"/>
              </w:rPr>
              <w:t xml:space="preserve">  Negative slope = negative and worsening returns over 250 days</w:t>
            </w:r>
          </w:p>
        </w:tc>
      </w:tr>
    </w:tbl>
    <w:p>
      <w:pPr>
        <w:spacing w:after="80" w:before="80"/>
      </w:pPr>
      <w:r>
        <w:t xml:space="preserve"/>
      </w:r>
    </w:p>
    <w:p>
      <w:pPr>
        <w:pStyle w:val="Heading2"/>
        <w:spacing w:after="100" w:before="280"/>
      </w:pPr>
      <w:r>
        <w:rPr>
          <w:rFonts w:ascii="Arial" w:cs="Arial" w:eastAsia="Arial" w:hAnsi="Arial"/>
          <w:b/>
          <w:bCs/>
          <w:color w:val="008866"/>
          <w:sz w:val="23"/>
          <w:szCs w:val="23"/>
        </w:rPr>
        <w:t xml:space="preserve">S3 — Medium-term trend (weight: 0.25)</w:t>
      </w:r>
    </w:p>
    <w:p>
      <w:pPr>
        <w:spacing w:after="80" w:before="60"/>
      </w:pPr>
      <w:r>
        <w:rPr>
          <w:rFonts w:ascii="Arial" w:cs="Arial" w:eastAsia="Arial" w:hAnsi="Arial"/>
          <w:b w:val="false"/>
          <w:bCs w:val="false"/>
          <w:i w:val="false"/>
          <w:iCs w:val="false"/>
          <w:color w:val="1A1A1A"/>
          <w:sz w:val="20"/>
          <w:szCs w:val="20"/>
        </w:rPr>
        <w:t xml:space="preserve">Same method as S2 — linear regression of log-returns on time. Window is 500+ trading days (2 to 5 years). Use all available data up to the current day if more than 500 days are available. Same normalization approach as 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5F5F5" w:val="clear"/>
            <w:tcMar>
              <w:top w:type="dxa" w:w="120"/>
              <w:left w:type="dxa" w:w="200"/>
              <w:bottom w:type="dxa" w:w="120"/>
              <w:right w:type="dxa" w:w="140"/>
            </w:tcMar>
          </w:tcPr>
          <w:p>
            <w:pPr>
              <w:spacing w:after="20" w:before="20"/>
            </w:pPr>
            <w:r>
              <w:rPr>
                <w:rFonts w:ascii="Courier New" w:cs="Courier New" w:eastAsia="Courier New" w:hAnsi="Courier New"/>
                <w:color w:val="333333"/>
                <w:sz w:val="18"/>
                <w:szCs w:val="18"/>
              </w:rPr>
              <w:t xml:space="preserve">log_returns = log( Price_t / Price_t-1 )  for last 500+ days</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Fit: log_return ~ a + b * t   (OLS linear regression)</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Normalize: S3 = tanh( b * scaling_factor )</w:t>
            </w:r>
          </w:p>
          <w:p>
            <w:pPr>
              <w:spacing w:after="20" w:before="20"/>
            </w:pPr>
            <w:r>
              <w:rPr>
                <w:rFonts w:ascii="Courier New" w:cs="Courier New" w:eastAsia="Courier New" w:hAnsi="Courier New"/>
                <w:color w:val="333333"/>
                <w:sz w:val="18"/>
                <w:szCs w:val="18"/>
              </w:rPr>
              <w:t xml:space="preserve">  Use same scaling_factor as S2 for consistency</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Result range: -1 to +1</w:t>
            </w:r>
          </w:p>
        </w:tc>
      </w:tr>
    </w:tbl>
    <w:p>
      <w:pPr>
        <w:spacing w:after="80" w:before="80"/>
      </w:pPr>
      <w:r>
        <w:t xml:space="preserve"/>
      </w:r>
    </w:p>
    <w:p>
      <w:pPr>
        <w:pStyle w:val="Heading2"/>
        <w:spacing w:after="100" w:before="280"/>
      </w:pPr>
      <w:r>
        <w:rPr>
          <w:rFonts w:ascii="Arial" w:cs="Arial" w:eastAsia="Arial" w:hAnsi="Arial"/>
          <w:b/>
          <w:bCs/>
          <w:color w:val="008866"/>
          <w:sz w:val="23"/>
          <w:szCs w:val="23"/>
        </w:rPr>
        <w:t xml:space="preserve">S4 — Historical volatility (weight: 0.15)</w:t>
      </w:r>
    </w:p>
    <w:p>
      <w:pPr>
        <w:spacing w:after="80" w:before="60"/>
      </w:pPr>
      <w:r>
        <w:rPr>
          <w:rFonts w:ascii="Arial" w:cs="Arial" w:eastAsia="Arial" w:hAnsi="Arial"/>
          <w:b w:val="false"/>
          <w:bCs w:val="false"/>
          <w:i w:val="false"/>
          <w:iCs w:val="false"/>
          <w:color w:val="1A1A1A"/>
          <w:sz w:val="20"/>
          <w:szCs w:val="20"/>
        </w:rPr>
        <w:t xml:space="preserve">Method: Rolling standard deviation of log-returns over the last 20 trading days, ranked against the full historical distribution to classify into Low, Moderate, or High.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0FAF6" w:val="clear"/>
            <w:tcMar>
              <w:top w:type="dxa" w:w="100"/>
              <w:left w:type="dxa" w:w="180"/>
              <w:bottom w:type="dxa" w:w="100"/>
              <w:right w:type="dxa" w:w="140"/>
            </w:tcMar>
          </w:tcPr>
          <w:p>
            <w:pPr>
              <w:spacing w:after="40" w:before="0"/>
            </w:pPr>
            <w:r>
              <w:rPr>
                <w:rFonts w:ascii="Arial" w:cs="Arial" w:eastAsia="Arial" w:hAnsi="Arial"/>
                <w:b/>
                <w:bCs/>
                <w:caps/>
                <w:color w:val="008866"/>
                <w:sz w:val="17"/>
                <w:szCs w:val="17"/>
              </w:rPr>
              <w:t xml:space="preserve">NOTE</w:t>
            </w:r>
          </w:p>
          <w:p>
            <w:pPr>
              <w:spacing w:after="0" w:before="0"/>
            </w:pPr>
            <w:r>
              <w:rPr>
                <w:rFonts w:ascii="Arial" w:cs="Arial" w:eastAsia="Arial" w:hAnsi="Arial"/>
                <w:i/>
                <w:iCs/>
                <w:color w:val="1A1A1A"/>
                <w:sz w:val="19"/>
                <w:szCs w:val="19"/>
              </w:rPr>
              <w:t xml:space="preserve">S4 measures HISTORICAL volatility only — how erratic price has been in the past. It is distinct from forward volatility (produced by GARCH in Engine B). Both are needed. Do not conflate them.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5F5F5" w:val="clear"/>
            <w:tcMar>
              <w:top w:type="dxa" w:w="120"/>
              <w:left w:type="dxa" w:w="200"/>
              <w:bottom w:type="dxa" w:w="120"/>
              <w:right w:type="dxa" w:w="140"/>
            </w:tcMar>
          </w:tcPr>
          <w:p>
            <w:pPr>
              <w:spacing w:after="20" w:before="20"/>
            </w:pPr>
            <w:r>
              <w:rPr>
                <w:rFonts w:ascii="Courier New" w:cs="Courier New" w:eastAsia="Courier New" w:hAnsi="Courier New"/>
                <w:color w:val="333333"/>
                <w:sz w:val="18"/>
                <w:szCs w:val="18"/>
              </w:rPr>
              <w:t xml:space="preserve">rolling_std = std( log_returns, window=20 )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percentile_rank = percentile_rank_of( rolling_std_today,</w:t>
            </w:r>
          </w:p>
          <w:p>
            <w:pPr>
              <w:spacing w:after="20" w:before="20"/>
            </w:pPr>
            <w:r>
              <w:rPr>
                <w:rFonts w:ascii="Courier New" w:cs="Courier New" w:eastAsia="Courier New" w:hAnsi="Courier New"/>
                <w:color w:val="333333"/>
                <w:sz w:val="18"/>
                <w:szCs w:val="18"/>
              </w:rPr>
              <w:t xml:space="preserve">                                      full_history_of_rolling_std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Classification:</w:t>
            </w:r>
          </w:p>
          <w:p>
            <w:pPr>
              <w:spacing w:after="20" w:before="20"/>
            </w:pPr>
            <w:r>
              <w:rPr>
                <w:rFonts w:ascii="Courier New" w:cs="Courier New" w:eastAsia="Courier New" w:hAnsi="Courier New"/>
                <w:color w:val="333333"/>
                <w:sz w:val="18"/>
                <w:szCs w:val="18"/>
              </w:rPr>
              <w:t xml:space="preserve">  percentile &lt; 33   →  Low volatility</w:t>
            </w:r>
          </w:p>
          <w:p>
            <w:pPr>
              <w:spacing w:after="20" w:before="20"/>
            </w:pPr>
            <w:r>
              <w:rPr>
                <w:rFonts w:ascii="Courier New" w:cs="Courier New" w:eastAsia="Courier New" w:hAnsi="Courier New"/>
                <w:color w:val="333333"/>
                <w:sz w:val="18"/>
                <w:szCs w:val="18"/>
              </w:rPr>
              <w:t xml:space="preserve">  33 to 66          →  Moderate volatility</w:t>
            </w:r>
          </w:p>
          <w:p>
            <w:pPr>
              <w:spacing w:after="20" w:before="20"/>
            </w:pPr>
            <w:r>
              <w:rPr>
                <w:rFonts w:ascii="Courier New" w:cs="Courier New" w:eastAsia="Courier New" w:hAnsi="Courier New"/>
                <w:color w:val="333333"/>
                <w:sz w:val="18"/>
                <w:szCs w:val="18"/>
              </w:rPr>
              <w:t xml:space="preserve">  above 66          →  High volatility</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Sign convention (CRITICAL):</w:t>
            </w:r>
          </w:p>
          <w:p>
            <w:pPr>
              <w:spacing w:after="20" w:before="20"/>
            </w:pPr>
            <w:r>
              <w:rPr>
                <w:rFonts w:ascii="Courier New" w:cs="Courier New" w:eastAsia="Courier New" w:hAnsi="Courier New"/>
                <w:color w:val="333333"/>
                <w:sz w:val="18"/>
                <w:szCs w:val="18"/>
              </w:rPr>
              <w:t xml:space="preserve">  High volatility   →  S4 = -1  (negative contribution)</w:t>
            </w:r>
          </w:p>
          <w:p>
            <w:pPr>
              <w:spacing w:after="20" w:before="20"/>
            </w:pPr>
            <w:r>
              <w:rPr>
                <w:rFonts w:ascii="Courier New" w:cs="Courier New" w:eastAsia="Courier New" w:hAnsi="Courier New"/>
                <w:color w:val="333333"/>
                <w:sz w:val="18"/>
                <w:szCs w:val="18"/>
              </w:rPr>
              <w:t xml:space="preserve">  Moderate          →  S4 =  0</w:t>
            </w:r>
          </w:p>
          <w:p>
            <w:pPr>
              <w:spacing w:after="20" w:before="20"/>
            </w:pPr>
            <w:r>
              <w:rPr>
                <w:rFonts w:ascii="Courier New" w:cs="Courier New" w:eastAsia="Courier New" w:hAnsi="Courier New"/>
                <w:color w:val="333333"/>
                <w:sz w:val="18"/>
                <w:szCs w:val="18"/>
              </w:rPr>
              <w:t xml:space="preserve">  Low volatility    →  S4 = +1  (positive contribution)</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Rationale: erratic price history reduces analyst confidence regardless</w:t>
            </w:r>
          </w:p>
          <w:p>
            <w:pPr>
              <w:spacing w:after="20" w:before="20"/>
            </w:pPr>
            <w:r>
              <w:rPr>
                <w:rFonts w:ascii="Courier New" w:cs="Courier New" w:eastAsia="Courier New" w:hAnsi="Courier New"/>
                <w:color w:val="333333"/>
                <w:sz w:val="18"/>
                <w:szCs w:val="18"/>
              </w:rPr>
              <w:t xml:space="preserve">of trend direction. High vol should pull the score toward -1.</w:t>
            </w:r>
          </w:p>
        </w:tc>
      </w:tr>
    </w:tbl>
    <w:p>
      <w:pPr>
        <w:spacing w:after="80" w:before="80"/>
      </w:pPr>
      <w:r>
        <w:t xml:space="preserve"/>
      </w:r>
    </w:p>
    <w:p>
      <w:pPr>
        <w:pStyle w:val="Heading2"/>
        <w:spacing w:after="100" w:before="280"/>
      </w:pPr>
      <w:r>
        <w:rPr>
          <w:rFonts w:ascii="Arial" w:cs="Arial" w:eastAsia="Arial" w:hAnsi="Arial"/>
          <w:b/>
          <w:bCs/>
          <w:color w:val="008866"/>
          <w:sz w:val="23"/>
          <w:szCs w:val="23"/>
        </w:rPr>
        <w:t xml:space="preserve">Engine A — combining signals into Score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5F5F5" w:val="clear"/>
            <w:tcMar>
              <w:top w:type="dxa" w:w="120"/>
              <w:left w:type="dxa" w:w="200"/>
              <w:bottom w:type="dxa" w:w="120"/>
              <w:right w:type="dxa" w:w="140"/>
            </w:tcMar>
          </w:tcPr>
          <w:p>
            <w:pPr>
              <w:spacing w:after="20" w:before="20"/>
            </w:pPr>
            <w:r>
              <w:rPr>
                <w:rFonts w:ascii="Courier New" w:cs="Courier New" w:eastAsia="Courier New" w:hAnsi="Courier New"/>
                <w:color w:val="333333"/>
                <w:sz w:val="18"/>
                <w:szCs w:val="18"/>
              </w:rPr>
              <w:t xml:space="preserve">Score A = (0.30 x S1) + (0.30 x S2) + (0.25 x S3) + (0.15 x S4)</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All four signals are normalized to -1 to +1 BEFORE weighting.</w:t>
            </w:r>
          </w:p>
          <w:p>
            <w:pPr>
              <w:spacing w:after="20" w:before="20"/>
            </w:pPr>
            <w:r>
              <w:rPr>
                <w:rFonts w:ascii="Courier New" w:cs="Courier New" w:eastAsia="Courier New" w:hAnsi="Courier New"/>
                <w:color w:val="333333"/>
                <w:sz w:val="18"/>
                <w:szCs w:val="18"/>
              </w:rPr>
              <w:t xml:space="preserve">Weights sum to 1.0.</w:t>
            </w:r>
          </w:p>
          <w:p>
            <w:pPr>
              <w:spacing w:after="20" w:before="20"/>
            </w:pPr>
            <w:r>
              <w:rPr>
                <w:rFonts w:ascii="Courier New" w:cs="Courier New" w:eastAsia="Courier New" w:hAnsi="Courier New"/>
                <w:color w:val="333333"/>
                <w:sz w:val="18"/>
                <w:szCs w:val="18"/>
              </w:rPr>
              <w:t xml:space="preserve">Score A range: -1 to +1.</w:t>
            </w:r>
          </w:p>
        </w:tc>
      </w:tr>
    </w:tbl>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Weight rationale: S1 and S2 share the highest weight because they cover the analyst's most actionable decision horizon (tactical and short-term). S3 provides structural context. S4 is a modifier, not a directional signal, so it carries the lowest weight.</w:t>
      </w:r>
    </w:p>
    <w:p>
      <w:r>
        <w:br w:type="page"/>
      </w:r>
    </w:p>
    <w:p>
      <w:pPr>
        <w:pStyle w:val="Heading1"/>
        <w:pBdr>
          <w:bottom w:val="single" w:color="008866" w:sz="10" w:space="6"/>
        </w:pBdr>
        <w:spacing w:after="140" w:before="400"/>
      </w:pPr>
      <w:r>
        <w:rPr>
          <w:rFonts w:ascii="Arial" w:cs="Arial" w:eastAsia="Arial" w:hAnsi="Arial"/>
          <w:b/>
          <w:bCs/>
          <w:color w:val="1A1A1A"/>
          <w:sz w:val="30"/>
          <w:szCs w:val="30"/>
        </w:rPr>
        <w:t xml:space="preserve">5 · Engine B — Price Forecasting  (weight in Final Score: 40%)</w:t>
      </w:r>
    </w:p>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Engine B answers: where is this commodity likely heading over the next 30 days? It is entirely forward-looking. It uses two models with distinct responsibilities operating on the same input series.</w:t>
      </w:r>
    </w:p>
    <w:p>
      <w:pPr>
        <w:spacing w:after="80" w:before="80"/>
      </w:pPr>
      <w:r>
        <w:t xml:space="preserve"/>
      </w:r>
    </w:p>
    <w:p>
      <w:pPr>
        <w:pStyle w:val="Heading2"/>
        <w:spacing w:after="100" w:before="280"/>
      </w:pPr>
      <w:r>
        <w:rPr>
          <w:rFonts w:ascii="Arial" w:cs="Arial" w:eastAsia="Arial" w:hAnsi="Arial"/>
          <w:b/>
          <w:bCs/>
          <w:color w:val="008866"/>
          <w:sz w:val="23"/>
          <w:szCs w:val="23"/>
        </w:rPr>
        <w:t xml:space="preserve">Input series — why daily change, not raw prices</w:t>
      </w:r>
    </w:p>
    <w:p>
      <w:pPr>
        <w:spacing w:after="80" w:before="60"/>
      </w:pPr>
      <w:r>
        <w:rPr>
          <w:rFonts w:ascii="Arial" w:cs="Arial" w:eastAsia="Arial" w:hAnsi="Arial"/>
          <w:b w:val="false"/>
          <w:bCs w:val="false"/>
          <w:i w:val="false"/>
          <w:iCs w:val="false"/>
          <w:color w:val="1A1A1A"/>
          <w:sz w:val="20"/>
          <w:szCs w:val="20"/>
        </w:rPr>
        <w:t xml:space="preserve">Engine B operates on the daily change series: daily_change_t = Price_t / Price_t-1.</w:t>
      </w:r>
    </w:p>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Forecasting raw price levels requires modelling a non-stationary series that drifts over time. The daily change series oscillates around 1.0 and is stationary — making it more stable for time-series modelling. This also aligns with Engine A, which uses log-returns for the same reason. Forecasting returns shifts the problem from price level prediction to return behaviour prediction, capturing momentum and volatility dynamics.</w:t>
      </w:r>
    </w:p>
    <w:p>
      <w:pPr>
        <w:spacing w:after="80" w:before="80"/>
      </w:pPr>
      <w:r>
        <w:t xml:space="preserve"/>
      </w:r>
    </w:p>
    <w:p>
      <w:pPr>
        <w:pStyle w:val="Heading2"/>
        <w:spacing w:after="100" w:before="280"/>
      </w:pPr>
      <w:r>
        <w:rPr>
          <w:rFonts w:ascii="Arial" w:cs="Arial" w:eastAsia="Arial" w:hAnsi="Arial"/>
          <w:b/>
          <w:bCs/>
          <w:color w:val="008866"/>
          <w:sz w:val="23"/>
          <w:szCs w:val="23"/>
        </w:rPr>
        <w:t xml:space="preserve">Two-model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24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c>
          <w:tcPr>
            <w:tcW w:type="dxa" w:w="24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276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Feeds into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Auto-ARIMA (B1)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Direction of expected returns — momentum signal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30-day cumulative return forecast → Score 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Signal (Up / Neutral / Down)</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GARCH (B2)</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Forward volatility — uncertainty over next 30 days</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Conditional variance forecast → confidence band width</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Flag modifier (Watch / Alert)</w:t>
            </w:r>
          </w:p>
        </w:tc>
      </w:tr>
    </w:tbl>
    <w:p>
      <w:pPr>
        <w:spacing w:after="80" w:before="80"/>
      </w:pPr>
      <w:r>
        <w:t xml:space="preserve"/>
      </w:r>
    </w:p>
    <w:p>
      <w:pPr>
        <w:pStyle w:val="Heading2"/>
        <w:spacing w:after="100" w:before="280"/>
      </w:pPr>
      <w:r>
        <w:rPr>
          <w:rFonts w:ascii="Arial" w:cs="Arial" w:eastAsia="Arial" w:hAnsi="Arial"/>
          <w:b/>
          <w:bCs/>
          <w:color w:val="008866"/>
          <w:sz w:val="23"/>
          <w:szCs w:val="23"/>
        </w:rPr>
        <w:t xml:space="preserve">B1 — Auto-ARIMA: direction forecast</w:t>
      </w:r>
    </w:p>
    <w:p>
      <w:pPr>
        <w:spacing w:after="80" w:before="60"/>
      </w:pPr>
      <w:r>
        <w:rPr>
          <w:rFonts w:ascii="Arial" w:cs="Arial" w:eastAsia="Arial" w:hAnsi="Arial"/>
          <w:b w:val="false"/>
          <w:bCs w:val="false"/>
          <w:i w:val="false"/>
          <w:iCs w:val="false"/>
          <w:color w:val="1A1A1A"/>
          <w:sz w:val="20"/>
          <w:szCs w:val="20"/>
        </w:rPr>
        <w:t xml:space="preserve">Auto-ARIMA finds the optimal (p, d, q) parameters independently for each commodity. It models the daily_change series and forecasts 30 days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5F5F5" w:val="clear"/>
            <w:tcMar>
              <w:top w:type="dxa" w:w="120"/>
              <w:left w:type="dxa" w:w="200"/>
              <w:bottom w:type="dxa" w:w="120"/>
              <w:right w:type="dxa" w:w="140"/>
            </w:tcMar>
          </w:tcPr>
          <w:p>
            <w:pPr>
              <w:spacing w:after="20" w:before="20"/>
            </w:pPr>
            <w:r>
              <w:rPr>
                <w:rFonts w:ascii="Courier New" w:cs="Courier New" w:eastAsia="Courier New" w:hAnsi="Courier New"/>
                <w:color w:val="333333"/>
                <w:sz w:val="18"/>
                <w:szCs w:val="18"/>
              </w:rPr>
              <w:t xml:space="preserve">Input:  daily_change series  (Price_t / Price_t-1)</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Model:  Auto-ARIMA</w:t>
            </w:r>
          </w:p>
          <w:p>
            <w:pPr>
              <w:spacing w:after="20" w:before="20"/>
            </w:pPr>
            <w:r>
              <w:rPr>
                <w:rFonts w:ascii="Courier New" w:cs="Courier New" w:eastAsia="Courier New" w:hAnsi="Courier New"/>
                <w:color w:val="333333"/>
                <w:sz w:val="18"/>
                <w:szCs w:val="18"/>
              </w:rPr>
              <w:t xml:space="preserve">        - Finds optimal (p, d, q) per commodity automatically</w:t>
            </w:r>
          </w:p>
          <w:p>
            <w:pPr>
              <w:spacing w:after="20" w:before="20"/>
            </w:pPr>
            <w:r>
              <w:rPr>
                <w:rFonts w:ascii="Courier New" w:cs="Courier New" w:eastAsia="Courier New" w:hAnsi="Courier New"/>
                <w:color w:val="333333"/>
                <w:sz w:val="18"/>
                <w:szCs w:val="18"/>
              </w:rPr>
              <w:t xml:space="preserve">        - Fit on full available history</w:t>
            </w:r>
          </w:p>
          <w:p>
            <w:pPr>
              <w:spacing w:after="20" w:before="20"/>
            </w:pPr>
            <w:r>
              <w:rPr>
                <w:rFonts w:ascii="Courier New" w:cs="Courier New" w:eastAsia="Courier New" w:hAnsi="Courier New"/>
                <w:color w:val="333333"/>
                <w:sz w:val="18"/>
                <w:szCs w:val="18"/>
              </w:rPr>
              <w:t xml:space="preserve">        - Forecast horizon: t+1 to t+30 (30 trading days)</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Output: 30 forecasted daily_change values</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Cumulative return over 30 days:</w:t>
            </w:r>
          </w:p>
          <w:p>
            <w:pPr>
              <w:spacing w:after="20" w:before="20"/>
            </w:pPr>
            <w:r>
              <w:rPr>
                <w:rFonts w:ascii="Courier New" w:cs="Courier New" w:eastAsia="Courier New" w:hAnsi="Courier New"/>
                <w:color w:val="333333"/>
                <w:sz w:val="18"/>
                <w:szCs w:val="18"/>
              </w:rPr>
              <w:t xml:space="preserve">  cumulative = product( forecasted_daily_change[t+1 ... t+30] )</w:t>
            </w:r>
          </w:p>
          <w:p>
            <w:pPr>
              <w:spacing w:after="20" w:before="20"/>
            </w:pPr>
            <w:r>
              <w:rPr>
                <w:rFonts w:ascii="Courier New" w:cs="Courier New" w:eastAsia="Courier New" w:hAnsi="Courier New"/>
                <w:color w:val="333333"/>
                <w:sz w:val="18"/>
                <w:szCs w:val="18"/>
              </w:rPr>
              <w:t xml:space="preserve">  Equivalent to: Price_t+30 / Price_t (expected)</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Score B = tanh( cumulative - 1 )</w:t>
            </w:r>
          </w:p>
          <w:p>
            <w:pPr>
              <w:spacing w:after="20" w:before="20"/>
            </w:pPr>
            <w:r>
              <w:rPr>
                <w:rFonts w:ascii="Courier New" w:cs="Courier New" w:eastAsia="Courier New" w:hAnsi="Courier New"/>
                <w:color w:val="333333"/>
                <w:sz w:val="18"/>
                <w:szCs w:val="18"/>
              </w:rPr>
              <w:t xml:space="preserve">  Values &gt; 1.0  →  positive cumulative return  →  Score B &gt; 0</w:t>
            </w:r>
          </w:p>
          <w:p>
            <w:pPr>
              <w:spacing w:after="20" w:before="20"/>
            </w:pPr>
            <w:r>
              <w:rPr>
                <w:rFonts w:ascii="Courier New" w:cs="Courier New" w:eastAsia="Courier New" w:hAnsi="Courier New"/>
                <w:color w:val="333333"/>
                <w:sz w:val="18"/>
                <w:szCs w:val="18"/>
              </w:rPr>
              <w:t xml:space="preserve">  Values &lt; 1.0  →  negative cumulative return  →  Score B &lt; 0</w:t>
            </w:r>
          </w:p>
          <w:p>
            <w:pPr>
              <w:spacing w:after="20" w:before="20"/>
            </w:pPr>
            <w:r>
              <w:rPr>
                <w:rFonts w:ascii="Courier New" w:cs="Courier New" w:eastAsia="Courier New" w:hAnsi="Courier New"/>
                <w:color w:val="333333"/>
                <w:sz w:val="18"/>
                <w:szCs w:val="18"/>
              </w:rPr>
              <w:t xml:space="preserve">  Score B range: -1 to +1</w:t>
            </w:r>
          </w:p>
        </w:tc>
      </w:tr>
    </w:tbl>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Why Auto-ARIMA: it captures autocorrelation in returns (momentum persistence), is explainable to the analyst, works well on 6 years of daily data, and Auto-ARIMA removes the burden of manual parameter tuning per commodity.</w:t>
      </w:r>
    </w:p>
    <w:p>
      <w:pPr>
        <w:spacing w:after="80" w:before="80"/>
      </w:pPr>
      <w:r>
        <w:t xml:space="preserve"/>
      </w:r>
    </w:p>
    <w:p>
      <w:pPr>
        <w:pStyle w:val="Heading2"/>
        <w:spacing w:after="100" w:before="280"/>
      </w:pPr>
      <w:r>
        <w:rPr>
          <w:rFonts w:ascii="Arial" w:cs="Arial" w:eastAsia="Arial" w:hAnsi="Arial"/>
          <w:b/>
          <w:bCs/>
          <w:color w:val="008866"/>
          <w:sz w:val="23"/>
          <w:szCs w:val="23"/>
        </w:rPr>
        <w:t xml:space="preserve">B2 — GARCH: forward volatility</w:t>
      </w:r>
    </w:p>
    <w:p>
      <w:pPr>
        <w:spacing w:after="80" w:before="60"/>
      </w:pPr>
      <w:r>
        <w:rPr>
          <w:rFonts w:ascii="Arial" w:cs="Arial" w:eastAsia="Arial" w:hAnsi="Arial"/>
          <w:b w:val="false"/>
          <w:bCs w:val="false"/>
          <w:i w:val="false"/>
          <w:iCs w:val="false"/>
          <w:color w:val="1A1A1A"/>
          <w:sz w:val="20"/>
          <w:szCs w:val="20"/>
        </w:rPr>
        <w:t xml:space="preserve">GARCH models the conditional variance of the daily_change series — the volatility that is expected to occur in the next 30 days. This is forward-looking volatility, distinct from S4 which measures historical volatility.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0FAF6" w:val="clear"/>
            <w:tcMar>
              <w:top w:type="dxa" w:w="100"/>
              <w:left w:type="dxa" w:w="180"/>
              <w:bottom w:type="dxa" w:w="100"/>
              <w:right w:type="dxa" w:w="140"/>
            </w:tcMar>
          </w:tcPr>
          <w:p>
            <w:pPr>
              <w:spacing w:after="40" w:before="0"/>
            </w:pPr>
            <w:r>
              <w:rPr>
                <w:rFonts w:ascii="Arial" w:cs="Arial" w:eastAsia="Arial" w:hAnsi="Arial"/>
                <w:b/>
                <w:bCs/>
                <w:caps/>
                <w:color w:val="008866"/>
                <w:sz w:val="17"/>
                <w:szCs w:val="17"/>
              </w:rPr>
              <w:t xml:space="preserve">NOTE</w:t>
            </w:r>
          </w:p>
          <w:p>
            <w:pPr>
              <w:spacing w:after="0" w:before="0"/>
            </w:pPr>
            <w:r>
              <w:rPr>
                <w:rFonts w:ascii="Arial" w:cs="Arial" w:eastAsia="Arial" w:hAnsi="Arial"/>
                <w:i/>
                <w:iCs/>
                <w:color w:val="1A1A1A"/>
                <w:sz w:val="19"/>
                <w:szCs w:val="19"/>
              </w:rPr>
              <w:t xml:space="preserve">These are two genuinely different things. S4 asks: was price erratic recently? GARCH asks: is price expected to be erratic soon? A commodity can have calm recent history and high expected forward volatility, or vice versa. Both signals are needed and they are not redundant.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5F5F5" w:val="clear"/>
            <w:tcMar>
              <w:top w:type="dxa" w:w="120"/>
              <w:left w:type="dxa" w:w="200"/>
              <w:bottom w:type="dxa" w:w="120"/>
              <w:right w:type="dxa" w:w="140"/>
            </w:tcMar>
          </w:tcPr>
          <w:p>
            <w:pPr>
              <w:spacing w:after="20" w:before="20"/>
            </w:pPr>
            <w:r>
              <w:rPr>
                <w:rFonts w:ascii="Courier New" w:cs="Courier New" w:eastAsia="Courier New" w:hAnsi="Courier New"/>
                <w:color w:val="333333"/>
                <w:sz w:val="18"/>
                <w:szCs w:val="18"/>
              </w:rPr>
              <w:t xml:space="preserve">Input:  daily_change series  (Price_t / Price_t-1)</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Model:  GARCH(1,1)  (start here — upgrade to higher order if needed)</w:t>
            </w:r>
          </w:p>
          <w:p>
            <w:pPr>
              <w:spacing w:after="20" w:before="20"/>
            </w:pPr>
            <w:r>
              <w:rPr>
                <w:rFonts w:ascii="Courier New" w:cs="Courier New" w:eastAsia="Courier New" w:hAnsi="Courier New"/>
                <w:color w:val="333333"/>
                <w:sz w:val="18"/>
                <w:szCs w:val="18"/>
              </w:rPr>
              <w:t xml:space="preserve">        - Fit on full available history</w:t>
            </w:r>
          </w:p>
          <w:p>
            <w:pPr>
              <w:spacing w:after="20" w:before="20"/>
            </w:pPr>
            <w:r>
              <w:rPr>
                <w:rFonts w:ascii="Courier New" w:cs="Courier New" w:eastAsia="Courier New" w:hAnsi="Courier New"/>
                <w:color w:val="333333"/>
                <w:sz w:val="18"/>
                <w:szCs w:val="18"/>
              </w:rPr>
              <w:t xml:space="preserve">        - Forecast conditional variance for t+1 to t+30</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Output: mean forecasted variance over 30 days</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Classify using historical percentile rank of forecasted variance:</w:t>
            </w:r>
          </w:p>
          <w:p>
            <w:pPr>
              <w:spacing w:after="20" w:before="20"/>
            </w:pPr>
            <w:r>
              <w:rPr>
                <w:rFonts w:ascii="Courier New" w:cs="Courier New" w:eastAsia="Courier New" w:hAnsi="Courier New"/>
                <w:color w:val="333333"/>
                <w:sz w:val="18"/>
                <w:szCs w:val="18"/>
              </w:rPr>
              <w:t xml:space="preserve">  percentile &lt; 33   →  Low forward volatility</w:t>
            </w:r>
          </w:p>
          <w:p>
            <w:pPr>
              <w:spacing w:after="20" w:before="20"/>
            </w:pPr>
            <w:r>
              <w:rPr>
                <w:rFonts w:ascii="Courier New" w:cs="Courier New" w:eastAsia="Courier New" w:hAnsi="Courier New"/>
                <w:color w:val="333333"/>
                <w:sz w:val="18"/>
                <w:szCs w:val="18"/>
              </w:rPr>
              <w:t xml:space="preserve">  33 to 66          →  Moderate forward volatility</w:t>
            </w:r>
          </w:p>
          <w:p>
            <w:pPr>
              <w:spacing w:after="20" w:before="20"/>
            </w:pPr>
            <w:r>
              <w:rPr>
                <w:rFonts w:ascii="Courier New" w:cs="Courier New" w:eastAsia="Courier New" w:hAnsi="Courier New"/>
                <w:color w:val="333333"/>
                <w:sz w:val="18"/>
                <w:szCs w:val="18"/>
              </w:rPr>
              <w:t xml:space="preserve">  above 66          →  High forward volatility</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This classification feeds the flag modifier — see Section 7.</w:t>
            </w:r>
          </w:p>
          <w:p>
            <w:pPr>
              <w:spacing w:after="20" w:before="20"/>
            </w:pPr>
            <w:r>
              <w:rPr>
                <w:rFonts w:ascii="Courier New" w:cs="Courier New" w:eastAsia="Courier New" w:hAnsi="Courier New"/>
                <w:color w:val="333333"/>
                <w:sz w:val="18"/>
                <w:szCs w:val="18"/>
              </w:rPr>
              <w:t xml:space="preserve">It does NOT directly affect Score B (ARIMA owns the score).</w:t>
            </w:r>
          </w:p>
          <w:p>
            <w:pPr>
              <w:spacing w:after="20" w:before="20"/>
            </w:pPr>
            <w:r>
              <w:rPr>
                <w:rFonts w:ascii="Courier New" w:cs="Courier New" w:eastAsia="Courier New" w:hAnsi="Courier New"/>
                <w:color w:val="333333"/>
                <w:sz w:val="18"/>
                <w:szCs w:val="18"/>
              </w:rPr>
              <w:t xml:space="preserve">GARCH owns uncertainty. ARIMA owns direction.</w:t>
            </w:r>
          </w:p>
        </w:tc>
      </w:tr>
    </w:tbl>
    <w:p>
      <w:r>
        <w:br w:type="page"/>
      </w:r>
    </w:p>
    <w:p>
      <w:pPr>
        <w:pStyle w:val="Heading1"/>
        <w:pBdr>
          <w:bottom w:val="single" w:color="008866" w:sz="10" w:space="6"/>
        </w:pBdr>
        <w:spacing w:after="140" w:before="400"/>
      </w:pPr>
      <w:r>
        <w:rPr>
          <w:rFonts w:ascii="Arial" w:cs="Arial" w:eastAsia="Arial" w:hAnsi="Arial"/>
          <w:b/>
          <w:bCs/>
          <w:color w:val="1A1A1A"/>
          <w:sz w:val="30"/>
          <w:szCs w:val="30"/>
        </w:rPr>
        <w:t xml:space="preserve">6 · Final Score</w:t>
      </w:r>
    </w:p>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The Final Score combines Score A and Score B into a single number that represents the overall price signal for a commodity on a given day.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5F5F5" w:val="clear"/>
            <w:tcMar>
              <w:top w:type="dxa" w:w="120"/>
              <w:left w:type="dxa" w:w="200"/>
              <w:bottom w:type="dxa" w:w="120"/>
              <w:right w:type="dxa" w:w="140"/>
            </w:tcMar>
          </w:tcPr>
          <w:p>
            <w:pPr>
              <w:spacing w:after="20" w:before="20"/>
            </w:pPr>
            <w:r>
              <w:rPr>
                <w:rFonts w:ascii="Courier New" w:cs="Courier New" w:eastAsia="Courier New" w:hAnsi="Courier New"/>
                <w:color w:val="333333"/>
                <w:sz w:val="18"/>
                <w:szCs w:val="18"/>
              </w:rPr>
              <w:t xml:space="preserve">Final Score = (0.60 x Score A) + (0.40 x Score B)</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Range: -1 (strongly bearish) to +1 (strongly bullish)</w:t>
            </w:r>
          </w:p>
          <w:p>
            <w:pPr>
              <w:spacing w:after="20" w:before="20"/>
            </w:pPr>
            <w:r>
              <w:rPr>
                <w:rFonts w:ascii="Courier New" w:cs="Courier New" w:eastAsia="Courier New" w:hAnsi="Courier New"/>
                <w:color w:val="333333"/>
                <w:sz w:val="18"/>
                <w:szCs w:val="18"/>
              </w:rPr>
              <w:t xml:space="preserve">One Final Score computed per commodity, per day.</w:t>
            </w:r>
          </w:p>
        </w:tc>
      </w:tr>
    </w:tbl>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Weight rationale: Evolution (60%) carries more weight because the analyst is making a decision grounded in what has already happened. The forecast (40%) provides directional context but is inherently uncertain. Backward-looking signals are more reliable than forward-looking ones for a decision-support tool.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B45309" w:sz="18"/>
              <w:bottom w:val="single" w:color="CCCCCC" w:sz="1"/>
              <w:right w:val="single" w:color="CCCCCC" w:sz="1"/>
            </w:tcBorders>
            <w:shd w:fill="FFFBEB" w:val="clear"/>
            <w:tcMar>
              <w:top w:type="dxa" w:w="100"/>
              <w:left w:type="dxa" w:w="180"/>
              <w:bottom w:type="dxa" w:w="100"/>
              <w:right w:type="dxa" w:w="140"/>
            </w:tcMar>
          </w:tcPr>
          <w:p>
            <w:pPr>
              <w:spacing w:after="40" w:before="0"/>
            </w:pPr>
            <w:r>
              <w:rPr>
                <w:rFonts w:ascii="Arial" w:cs="Arial" w:eastAsia="Arial" w:hAnsi="Arial"/>
                <w:b/>
                <w:bCs/>
                <w:caps/>
                <w:color w:val="B45309"/>
                <w:sz w:val="17"/>
                <w:szCs w:val="17"/>
              </w:rPr>
              <w:t xml:space="preserve">IMPORTANT</w:t>
            </w:r>
          </w:p>
          <w:p>
            <w:pPr>
              <w:spacing w:after="0" w:before="0"/>
            </w:pPr>
            <w:r>
              <w:rPr>
                <w:rFonts w:ascii="Arial" w:cs="Arial" w:eastAsia="Arial" w:hAnsi="Arial"/>
                <w:i/>
                <w:iCs/>
                <w:color w:val="1A1A1A"/>
                <w:sz w:val="19"/>
                <w:szCs w:val="19"/>
              </w:rPr>
              <w:t xml:space="preserve">The Final Score is the single source of truth for signal and flag assignment. Signal (Up/Neutral/Down) and flag (Stable/Watch/Alert) are both derived from the same Final Score. They are not independent calculations. Do not compute them separately.</w:t>
            </w:r>
          </w:p>
        </w:tc>
      </w:tr>
    </w:tbl>
    <w:p>
      <w:r>
        <w:br w:type="page"/>
      </w:r>
    </w:p>
    <w:p>
      <w:pPr>
        <w:pStyle w:val="Heading1"/>
        <w:pBdr>
          <w:bottom w:val="single" w:color="008866" w:sz="10" w:space="6"/>
        </w:pBdr>
        <w:spacing w:after="140" w:before="400"/>
      </w:pPr>
      <w:r>
        <w:rPr>
          <w:rFonts w:ascii="Arial" w:cs="Arial" w:eastAsia="Arial" w:hAnsi="Arial"/>
          <w:b/>
          <w:bCs/>
          <w:color w:val="1A1A1A"/>
          <w:sz w:val="30"/>
          <w:szCs w:val="30"/>
        </w:rPr>
        <w:t xml:space="preserve">7 · Signal &amp; Flag Mapping</w:t>
      </w:r>
    </w:p>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Signal and flag thresholds are NOT hardcoded. They are derived from the historical distribution of Final Scores for each commodity. This ensures thresholds reflect actual market behaviour, not assumptions.</w:t>
      </w:r>
    </w:p>
    <w:p>
      <w:pPr>
        <w:spacing w:after="80" w:before="80"/>
      </w:pPr>
      <w:r>
        <w:t xml:space="preserve"/>
      </w:r>
    </w:p>
    <w:p>
      <w:pPr>
        <w:pStyle w:val="Heading2"/>
        <w:spacing w:after="100" w:before="280"/>
      </w:pPr>
      <w:r>
        <w:rPr>
          <w:rFonts w:ascii="Arial" w:cs="Arial" w:eastAsia="Arial" w:hAnsi="Arial"/>
          <w:b/>
          <w:bCs/>
          <w:color w:val="008866"/>
          <w:sz w:val="23"/>
          <w:szCs w:val="23"/>
        </w:rPr>
        <w:t xml:space="preserve">Step 1 — Calibration (run once before first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5F5F5" w:val="clear"/>
            <w:tcMar>
              <w:top w:type="dxa" w:w="120"/>
              <w:left w:type="dxa" w:w="200"/>
              <w:bottom w:type="dxa" w:w="120"/>
              <w:right w:type="dxa" w:w="140"/>
            </w:tcMar>
          </w:tcPr>
          <w:p>
            <w:pPr>
              <w:spacing w:after="20" w:before="20"/>
            </w:pPr>
            <w:r>
              <w:rPr>
                <w:rFonts w:ascii="Courier New" w:cs="Courier New" w:eastAsia="Courier New" w:hAnsi="Courier New"/>
                <w:color w:val="333333"/>
                <w:sz w:val="18"/>
                <w:szCs w:val="18"/>
              </w:rPr>
              <w:t xml:space="preserve">For each commodity (copper_lme, nickel_lme, aluminium_lme):</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1. Compute Final Score for every available trading day in history</w:t>
            </w:r>
          </w:p>
          <w:p>
            <w:pPr>
              <w:spacing w:after="20" w:before="20"/>
            </w:pPr>
            <w:r>
              <w:rPr>
                <w:rFonts w:ascii="Courier New" w:cs="Courier New" w:eastAsia="Courier New" w:hAnsi="Courier New"/>
                <w:color w:val="333333"/>
                <w:sz w:val="18"/>
                <w:szCs w:val="18"/>
              </w:rPr>
              <w:t xml:space="preserve">     using the full engine pipeline.</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2. Compute percentiles of the Final Score distribution:</w:t>
            </w:r>
          </w:p>
          <w:p>
            <w:pPr>
              <w:spacing w:after="20" w:before="20"/>
            </w:pPr>
            <w:r>
              <w:rPr>
                <w:rFonts w:ascii="Courier New" w:cs="Courier New" w:eastAsia="Courier New" w:hAnsi="Courier New"/>
                <w:color w:val="333333"/>
                <w:sz w:val="18"/>
                <w:szCs w:val="18"/>
              </w:rPr>
              <w:t xml:space="preserve">       p25 = 25th percentile of all historical Final Scores</w:t>
            </w:r>
          </w:p>
          <w:p>
            <w:pPr>
              <w:spacing w:after="20" w:before="20"/>
            </w:pPr>
            <w:r>
              <w:rPr>
                <w:rFonts w:ascii="Courier New" w:cs="Courier New" w:eastAsia="Courier New" w:hAnsi="Courier New"/>
                <w:color w:val="333333"/>
                <w:sz w:val="18"/>
                <w:szCs w:val="18"/>
              </w:rPr>
              <w:t xml:space="preserve">       p75 = 75th percentile of all historical Final Scores</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3. Store p25 and p75 as parameters per commodity.</w:t>
            </w:r>
          </w:p>
          <w:p>
            <w:pPr>
              <w:spacing w:after="20" w:before="20"/>
            </w:pPr>
            <w:r>
              <w:rPr>
                <w:rFonts w:ascii="Courier New" w:cs="Courier New" w:eastAsia="Courier New" w:hAnsi="Courier New"/>
                <w:color w:val="333333"/>
                <w:sz w:val="18"/>
                <w:szCs w:val="18"/>
              </w:rPr>
              <w:t xml:space="preserve">     These are the signal thresholds.</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Thresholds are commodity-specific.</w:t>
            </w:r>
          </w:p>
          <w:p>
            <w:pPr>
              <w:spacing w:after="20" w:before="20"/>
            </w:pPr>
            <w:r>
              <w:rPr>
                <w:rFonts w:ascii="Courier New" w:cs="Courier New" w:eastAsia="Courier New" w:hAnsi="Courier New"/>
                <w:color w:val="333333"/>
                <w:sz w:val="18"/>
                <w:szCs w:val="18"/>
              </w:rPr>
              <w:t xml:space="preserve">  Copper has its own p25/p75. Nickel has its own. Aluminium has its own.</w:t>
            </w:r>
          </w:p>
          <w:p>
            <w:pPr>
              <w:spacing w:after="20" w:before="20"/>
            </w:pPr>
            <w:r>
              <w:rPr>
                <w:rFonts w:ascii="Courier New" w:cs="Courier New" w:eastAsia="Courier New" w:hAnsi="Courier New"/>
                <w:color w:val="333333"/>
                <w:sz w:val="18"/>
                <w:szCs w:val="18"/>
              </w:rPr>
              <w:t xml:space="preserve">  Do not use a single global threshold for all three.</w:t>
            </w:r>
          </w:p>
        </w:tc>
      </w:tr>
    </w:tbl>
    <w:p>
      <w:pPr>
        <w:spacing w:after="80" w:before="80"/>
      </w:pPr>
      <w:r>
        <w:t xml:space="preserve"/>
      </w:r>
    </w:p>
    <w:p>
      <w:pPr>
        <w:pStyle w:val="Heading2"/>
        <w:spacing w:after="100" w:before="280"/>
      </w:pPr>
      <w:r>
        <w:rPr>
          <w:rFonts w:ascii="Arial" w:cs="Arial" w:eastAsia="Arial" w:hAnsi="Arial"/>
          <w:b/>
          <w:bCs/>
          <w:color w:val="008866"/>
          <w:sz w:val="23"/>
          <w:szCs w:val="23"/>
        </w:rPr>
        <w:t xml:space="preserve">Step 2 — Signal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5F5F5" w:val="clear"/>
            <w:tcMar>
              <w:top w:type="dxa" w:w="120"/>
              <w:left w:type="dxa" w:w="200"/>
              <w:bottom w:type="dxa" w:w="120"/>
              <w:right w:type="dxa" w:w="140"/>
            </w:tcMar>
          </w:tcPr>
          <w:p>
            <w:pPr>
              <w:spacing w:after="20" w:before="20"/>
            </w:pPr>
            <w:r>
              <w:rPr>
                <w:rFonts w:ascii="Courier New" w:cs="Courier New" w:eastAsia="Courier New" w:hAnsi="Courier New"/>
                <w:color w:val="333333"/>
                <w:sz w:val="18"/>
                <w:szCs w:val="18"/>
              </w:rPr>
              <w:t xml:space="preserve">if Final Score &gt; p75:         signal = 'Up'</w:t>
            </w:r>
          </w:p>
          <w:p>
            <w:pPr>
              <w:spacing w:after="20" w:before="20"/>
            </w:pPr>
            <w:r>
              <w:rPr>
                <w:rFonts w:ascii="Courier New" w:cs="Courier New" w:eastAsia="Courier New" w:hAnsi="Courier New"/>
                <w:color w:val="333333"/>
                <w:sz w:val="18"/>
                <w:szCs w:val="18"/>
              </w:rPr>
              <w:t xml:space="preserve">elif Final Score &lt; p25:       signal = 'Down'</w:t>
            </w:r>
          </w:p>
          <w:p>
            <w:pPr>
              <w:spacing w:after="20" w:before="20"/>
            </w:pPr>
            <w:r>
              <w:rPr>
                <w:rFonts w:ascii="Courier New" w:cs="Courier New" w:eastAsia="Courier New" w:hAnsi="Courier New"/>
                <w:color w:val="333333"/>
                <w:sz w:val="18"/>
                <w:szCs w:val="18"/>
              </w:rPr>
              <w:t xml:space="preserve">else:                         signal = 'Neutral'</w:t>
            </w:r>
          </w:p>
        </w:tc>
      </w:tr>
    </w:tbl>
    <w:p>
      <w:pPr>
        <w:spacing w:after="80" w:before="80"/>
      </w:pPr>
      <w:r>
        <w:t xml:space="preserve"/>
      </w:r>
    </w:p>
    <w:p>
      <w:pPr>
        <w:pStyle w:val="Heading2"/>
        <w:spacing w:after="100" w:before="280"/>
      </w:pPr>
      <w:r>
        <w:rPr>
          <w:rFonts w:ascii="Arial" w:cs="Arial" w:eastAsia="Arial" w:hAnsi="Arial"/>
          <w:b/>
          <w:bCs/>
          <w:color w:val="008866"/>
          <w:sz w:val="23"/>
          <w:szCs w:val="23"/>
        </w:rPr>
        <w:t xml:space="preserve">Step 3 — Flag assignment</w:t>
      </w:r>
    </w:p>
    <w:p>
      <w:pPr>
        <w:spacing w:after="80" w:before="60"/>
      </w:pPr>
      <w:r>
        <w:rPr>
          <w:rFonts w:ascii="Arial" w:cs="Arial" w:eastAsia="Arial" w:hAnsi="Arial"/>
          <w:b w:val="false"/>
          <w:bCs w:val="false"/>
          <w:i w:val="false"/>
          <w:iCs w:val="false"/>
          <w:color w:val="1A1A1A"/>
          <w:sz w:val="20"/>
          <w:szCs w:val="20"/>
        </w:rPr>
        <w:t xml:space="preserve">The flag requires both the signal and the two volatility inputs: S4 (historical, from Engine A) and GARCH forward volatility (from Engine 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1960"/>
        <w:gridCol w:w="3000"/>
      </w:tblGrid>
      <w:tr>
        <w:tc>
          <w:tcPr>
            <w:tcW w:type="dxa" w:w="14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Final Score</w:t>
            </w:r>
          </w:p>
        </w:tc>
        <w:tc>
          <w:tcPr>
            <w:tcW w:type="dxa" w:w="12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18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Historical vol (S4)</w:t>
            </w:r>
          </w:p>
        </w:tc>
        <w:tc>
          <w:tcPr>
            <w:tcW w:type="dxa" w:w="196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Forward vol (GARCH)</w:t>
            </w:r>
          </w:p>
        </w:tc>
        <w:tc>
          <w:tcPr>
            <w:tcW w:type="dxa" w:w="30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Flag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Score &gt; p75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Stable</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Score &gt; p75</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Up</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High or Moderate</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High or Moderate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Watch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p25 to p75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Neutral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Watch</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Score &lt; p25</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Down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Low</w:t>
            </w:r>
          </w:p>
        </w:tc>
        <w:tc>
          <w:tcPr>
            <w:tcW w:type="dxa" w:w="1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Low</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Watch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Score &lt; p25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 (wide band)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Alert</w:t>
            </w:r>
          </w:p>
        </w:tc>
      </w:tr>
    </w:tbl>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Alert fires only on the downside when BOTH volatility signals are elevated. This prevents false alerts when price falls in a calm, orderly manner. Watch is the default for ambiguous conditions. Stable only fires when price is up AND both volatility signals are calm.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0FAF6" w:val="clear"/>
            <w:tcMar>
              <w:top w:type="dxa" w:w="100"/>
              <w:left w:type="dxa" w:w="180"/>
              <w:bottom w:type="dxa" w:w="100"/>
              <w:right w:type="dxa" w:w="140"/>
            </w:tcMar>
          </w:tcPr>
          <w:p>
            <w:pPr>
              <w:spacing w:after="40" w:before="0"/>
            </w:pPr>
            <w:r>
              <w:rPr>
                <w:rFonts w:ascii="Arial" w:cs="Arial" w:eastAsia="Arial" w:hAnsi="Arial"/>
                <w:b/>
                <w:bCs/>
                <w:caps/>
                <w:color w:val="008866"/>
                <w:sz w:val="17"/>
                <w:szCs w:val="17"/>
              </w:rPr>
              <w:t xml:space="preserve">NOTE</w:t>
            </w:r>
          </w:p>
          <w:p>
            <w:pPr>
              <w:spacing w:after="0" w:before="0"/>
            </w:pPr>
            <w:r>
              <w:rPr>
                <w:rFonts w:ascii="Arial" w:cs="Arial" w:eastAsia="Arial" w:hAnsi="Arial"/>
                <w:i/>
                <w:iCs/>
                <w:color w:val="1A1A1A"/>
                <w:sz w:val="19"/>
                <w:szCs w:val="19"/>
              </w:rPr>
              <w:t xml:space="preserve">The flag logic uses two volatility inputs because they measure different things. Historical vol (S4) says: was price erratic recently? Forward vol (GARCH) says: is price expected to be erratic soon? Both elevated together is the clearest signal of genuine instability. One elevated alone = Watch. Both elevated = Alert (on downside).</w:t>
            </w:r>
          </w:p>
        </w:tc>
      </w:tr>
    </w:tbl>
    <w:p>
      <w:r>
        <w:br w:type="page"/>
      </w:r>
    </w:p>
    <w:p>
      <w:pPr>
        <w:pStyle w:val="Heading1"/>
        <w:pBdr>
          <w:bottom w:val="single" w:color="008866" w:sz="10" w:space="6"/>
        </w:pBdr>
        <w:spacing w:after="140" w:before="400"/>
      </w:pPr>
      <w:r>
        <w:rPr>
          <w:rFonts w:ascii="Arial" w:cs="Arial" w:eastAsia="Arial" w:hAnsi="Arial"/>
          <w:b/>
          <w:bCs/>
          <w:color w:val="1A1A1A"/>
          <w:sz w:val="30"/>
          <w:szCs w:val="30"/>
        </w:rPr>
        <w:t xml:space="preserve">8 · Output Contract</w:t>
      </w:r>
    </w:p>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The Price Block produces exactly one output block per commodity per run. The structure is fixed. Do not change field names — the News Block and Sentiment Score combiner will depend on this contract.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5F5F5" w:val="clear"/>
            <w:tcMar>
              <w:top w:type="dxa" w:w="120"/>
              <w:left w:type="dxa" w:w="200"/>
              <w:bottom w:type="dxa" w:w="120"/>
              <w:right w:type="dxa" w:w="140"/>
            </w:tcMar>
          </w:tcPr>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commodity:    string   // 'copper_lme' | 'nickel_lme' | 'aluminium_lme'</w:t>
            </w:r>
          </w:p>
          <w:p>
            <w:pPr>
              <w:spacing w:after="20" w:before="20"/>
            </w:pPr>
            <w:r>
              <w:rPr>
                <w:rFonts w:ascii="Courier New" w:cs="Courier New" w:eastAsia="Courier New" w:hAnsi="Courier New"/>
                <w:color w:val="333333"/>
                <w:sz w:val="18"/>
                <w:szCs w:val="18"/>
              </w:rPr>
              <w:t xml:space="preserve">  score:        float    // Final Score, range -1.0 to +1.0</w:t>
            </w:r>
          </w:p>
          <w:p>
            <w:pPr>
              <w:spacing w:after="20" w:before="20"/>
            </w:pPr>
            <w:r>
              <w:rPr>
                <w:rFonts w:ascii="Courier New" w:cs="Courier New" w:eastAsia="Courier New" w:hAnsi="Courier New"/>
                <w:color w:val="333333"/>
                <w:sz w:val="18"/>
                <w:szCs w:val="18"/>
              </w:rPr>
              <w:t xml:space="preserve">  signal:       string   // 'Up' | 'Neutral' | 'Down'</w:t>
            </w:r>
          </w:p>
          <w:p>
            <w:pPr>
              <w:spacing w:after="20" w:before="20"/>
            </w:pPr>
            <w:r>
              <w:rPr>
                <w:rFonts w:ascii="Courier New" w:cs="Courier New" w:eastAsia="Courier New" w:hAnsi="Courier New"/>
                <w:color w:val="333333"/>
                <w:sz w:val="18"/>
                <w:szCs w:val="18"/>
              </w:rPr>
              <w:t xml:space="preserve">  flag:         string   // 'Stable' | 'Watch' | 'Alert'</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evolution: {</w:t>
            </w:r>
          </w:p>
          <w:p>
            <w:pPr>
              <w:spacing w:after="20" w:before="20"/>
            </w:pPr>
            <w:r>
              <w:rPr>
                <w:rFonts w:ascii="Courier New" w:cs="Courier New" w:eastAsia="Courier New" w:hAnsi="Courier New"/>
                <w:color w:val="333333"/>
                <w:sz w:val="18"/>
                <w:szCs w:val="18"/>
              </w:rPr>
              <w:t xml:space="preserve">    tactical:    string  // 'Up 3.2% over last 20 days'</w:t>
            </w:r>
          </w:p>
          <w:p>
            <w:pPr>
              <w:spacing w:after="20" w:before="20"/>
            </w:pPr>
            <w:r>
              <w:rPr>
                <w:rFonts w:ascii="Courier New" w:cs="Courier New" w:eastAsia="Courier New" w:hAnsi="Courier New"/>
                <w:color w:val="333333"/>
                <w:sz w:val="18"/>
                <w:szCs w:val="18"/>
              </w:rPr>
              <w:t xml:space="preserve">    short_term:  string  // 'Positive slope over 250 days'</w:t>
            </w:r>
          </w:p>
          <w:p>
            <w:pPr>
              <w:spacing w:after="20" w:before="20"/>
            </w:pPr>
            <w:r>
              <w:rPr>
                <w:rFonts w:ascii="Courier New" w:cs="Courier New" w:eastAsia="Courier New" w:hAnsi="Courier New"/>
                <w:color w:val="333333"/>
                <w:sz w:val="18"/>
                <w:szCs w:val="18"/>
              </w:rPr>
              <w:t xml:space="preserve">    medium_term: string  // 'Declining trend over 500+ days'</w:t>
            </w:r>
          </w:p>
          <w:p>
            <w:pPr>
              <w:spacing w:after="20" w:before="20"/>
            </w:pPr>
            <w:r>
              <w:rPr>
                <w:rFonts w:ascii="Courier New" w:cs="Courier New" w:eastAsia="Courier New" w:hAnsi="Courier New"/>
                <w:color w:val="333333"/>
                <w:sz w:val="18"/>
                <w:szCs w:val="18"/>
              </w:rPr>
              <w:t xml:space="preserve">    hist_vol:    string  // 'High — erratic price behaviour recently'</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forecast: {</w:t>
            </w:r>
          </w:p>
          <w:p>
            <w:pPr>
              <w:spacing w:after="20" w:before="20"/>
            </w:pPr>
            <w:r>
              <w:rPr>
                <w:rFonts w:ascii="Courier New" w:cs="Courier New" w:eastAsia="Courier New" w:hAnsi="Courier New"/>
                <w:color w:val="333333"/>
                <w:sz w:val="18"/>
                <w:szCs w:val="18"/>
              </w:rPr>
              <w:t xml:space="preserve">    direction:   string  // 'Continued decline expected'</w:t>
            </w:r>
          </w:p>
          <w:p>
            <w:pPr>
              <w:spacing w:after="20" w:before="20"/>
            </w:pPr>
            <w:r>
              <w:rPr>
                <w:rFonts w:ascii="Courier New" w:cs="Courier New" w:eastAsia="Courier New" w:hAnsi="Courier New"/>
                <w:color w:val="333333"/>
                <w:sz w:val="18"/>
                <w:szCs w:val="18"/>
              </w:rPr>
              <w:t xml:space="preserve">    fwd_vol:     string  // 'High — wide confidence band'</w:t>
            </w:r>
          </w:p>
          <w:p>
            <w:pPr>
              <w:spacing w:after="20" w:before="20"/>
            </w:pPr>
            <w:r>
              <w:rPr>
                <w:rFonts w:ascii="Courier New" w:cs="Courier New" w:eastAsia="Courier New" w:hAnsi="Courier New"/>
                <w:color w:val="333333"/>
                <w:sz w:val="18"/>
                <w:szCs w:val="18"/>
              </w:rPr>
              <w:t xml:space="preserve">    horizon:     string  // 'Next 30 days'</w:t>
            </w:r>
          </w:p>
          <w:p>
            <w:pPr>
              <w:spacing w:after="20" w:before="20"/>
            </w:pPr>
            <w:r>
              <w:rPr>
                <w:rFonts w:ascii="Courier New" w:cs="Courier New" w:eastAsia="Courier New" w:hAnsi="Courier New"/>
                <w:color w:val="333333"/>
                <w:sz w:val="18"/>
                <w:szCs w:val="18"/>
              </w:rPr>
              <w:t xml:space="preserve">    confidence:  string  // 'Low' | 'Moderate' | 'High'</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explanation:  string   // 2-3 sentence analyst briefing card</w:t>
            </w:r>
          </w:p>
          <w:p>
            <w:pPr>
              <w:spacing w:after="20" w:before="20"/>
            </w:pPr>
            <w:r>
              <w:rPr>
                <w:rFonts w:ascii="Courier New" w:cs="Courier New" w:eastAsia="Courier New" w:hAnsi="Courier New"/>
                <w:color w:val="333333"/>
                <w:sz w:val="18"/>
                <w:szCs w:val="18"/>
              </w:rPr>
              <w:t xml:space="preserve">}</w:t>
            </w:r>
          </w:p>
        </w:tc>
      </w:tr>
    </w:tbl>
    <w:p>
      <w:pPr>
        <w:spacing w:after="80" w:before="80"/>
      </w:pPr>
      <w:r>
        <w:t xml:space="preserve"/>
      </w:r>
    </w:p>
    <w:p>
      <w:pPr>
        <w:pStyle w:val="Heading2"/>
        <w:spacing w:after="100" w:before="280"/>
      </w:pPr>
      <w:r>
        <w:rPr>
          <w:rFonts w:ascii="Arial" w:cs="Arial" w:eastAsia="Arial" w:hAnsi="Arial"/>
          <w:b/>
          <w:bCs/>
          <w:color w:val="008866"/>
          <w:sz w:val="23"/>
          <w:szCs w:val="23"/>
        </w:rPr>
        <w:t xml:space="preserve">Explanation template</w:t>
      </w:r>
    </w:p>
    <w:p>
      <w:pPr>
        <w:spacing w:after="80" w:before="60"/>
      </w:pPr>
      <w:r>
        <w:rPr>
          <w:rFonts w:ascii="Arial" w:cs="Arial" w:eastAsia="Arial" w:hAnsi="Arial"/>
          <w:b w:val="false"/>
          <w:bCs w:val="false"/>
          <w:i w:val="false"/>
          <w:iCs w:val="false"/>
          <w:color w:val="1A1A1A"/>
          <w:sz w:val="20"/>
          <w:szCs w:val="20"/>
        </w:rPr>
        <w:t xml:space="preserve">The explanation is generated from a fixed template, not free-form text. Insert computed values into the placeholders: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5F5F5" w:val="clear"/>
            <w:tcMar>
              <w:top w:type="dxa" w:w="120"/>
              <w:left w:type="dxa" w:w="200"/>
              <w:bottom w:type="dxa" w:w="120"/>
              <w:right w:type="dxa" w:w="140"/>
            </w:tcMar>
          </w:tcPr>
          <w:p>
            <w:pPr>
              <w:spacing w:after="20" w:before="20"/>
            </w:pPr>
            <w:r>
              <w:rPr>
                <w:rFonts w:ascii="Courier New" w:cs="Courier New" w:eastAsia="Courier New" w:hAnsi="Courier New"/>
                <w:color w:val="333333"/>
                <w:sz w:val="18"/>
                <w:szCs w:val="18"/>
              </w:rPr>
              <w:t xml:space="preserve">[COMMODITY] has been [EVOLUTION_DIRECTION] — [TACTICAL_CHANGE] over the</w:t>
            </w:r>
          </w:p>
          <w:p>
            <w:pPr>
              <w:spacing w:after="20" w:before="20"/>
            </w:pPr>
            <w:r>
              <w:rPr>
                <w:rFonts w:ascii="Courier New" w:cs="Courier New" w:eastAsia="Courier New" w:hAnsi="Courier New"/>
                <w:color w:val="333333"/>
                <w:sz w:val="18"/>
                <w:szCs w:val="18"/>
              </w:rPr>
              <w:t xml:space="preserve">last 20 days and [TREND_DIRECTION] over the past [DOMINANT_WINDOW], with</w:t>
            </w:r>
          </w:p>
          <w:p>
            <w:pPr>
              <w:spacing w:after="20" w:before="20"/>
            </w:pPr>
            <w:r>
              <w:rPr>
                <w:rFonts w:ascii="Courier New" w:cs="Courier New" w:eastAsia="Courier New" w:hAnsi="Courier New"/>
                <w:color w:val="333333"/>
                <w:sz w:val="18"/>
                <w:szCs w:val="18"/>
              </w:rPr>
              <w:t xml:space="preserve">[HIST_VOL_LEVEL] historical volatility.</w:t>
            </w:r>
          </w:p>
          <w:p>
            <w:pPr>
              <w:spacing w:after="20" w:before="20"/>
            </w:pPr>
            <w:r>
              <w:rPr>
                <w:rFonts w:ascii="Courier New" w:cs="Courier New" w:eastAsia="Courier New" w:hAnsi="Courier New"/>
                <w:color w:val="333333"/>
                <w:sz w:val="18"/>
                <w:szCs w:val="18"/>
              </w:rPr>
              <w:t xml:space="preserve">The forecast points to [FORECAST_DIRECTION] over the next 30 days,</w:t>
            </w:r>
          </w:p>
          <w:p>
            <w:pPr>
              <w:spacing w:after="20" w:before="20"/>
            </w:pPr>
            <w:r>
              <w:rPr>
                <w:rFonts w:ascii="Courier New" w:cs="Courier New" w:eastAsia="Courier New" w:hAnsi="Courier New"/>
                <w:color w:val="333333"/>
                <w:sz w:val="18"/>
                <w:szCs w:val="18"/>
              </w:rPr>
              <w:t xml:space="preserve">with [FWD_VOL_LEVEL] forward volatility ([CONFIDENCE] confidence).</w:t>
            </w:r>
          </w:p>
          <w:p>
            <w:pPr>
              <w:spacing w:after="20" w:before="20"/>
            </w:pPr>
            <w:r>
              <w:rPr>
                <w:rFonts w:ascii="Courier New" w:cs="Courier New" w:eastAsia="Courier New" w:hAnsi="Courier New"/>
                <w:color w:val="333333"/>
                <w:sz w:val="18"/>
                <w:szCs w:val="18"/>
              </w:rPr>
              <w:t xml:space="preserve">Price signal: [SIGNAL]. Flag: [FLAG].</w:t>
            </w:r>
          </w:p>
        </w:tc>
      </w:tr>
    </w:tbl>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Example populated output: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AF6" w:val="clear"/>
            <w:tcMar>
              <w:top w:type="dxa" w:w="120"/>
              <w:left w:type="dxa" w:w="200"/>
              <w:bottom w:type="dxa" w:w="120"/>
              <w:right w:type="dxa" w:w="200"/>
            </w:tcMar>
          </w:tcPr>
          <w:p>
            <w:r>
              <w:rPr>
                <w:rFonts w:ascii="Arial" w:cs="Arial" w:eastAsia="Arial" w:hAnsi="Arial"/>
                <w:i/>
                <w:iCs/>
                <w:color w:val="1A1A1A"/>
                <w:sz w:val="20"/>
                <w:szCs w:val="20"/>
              </w:rPr>
              <w:t xml:space="preserve">"Copper has been under consistent pressure — down 4% over the last 20 days and declining over the past 250 days, with high historical volatility. The forecast points to further decline over the next 30 days, with high forward volatility (low confidence). Price signal: Down. Flag: Alert."</w:t>
            </w:r>
          </w:p>
        </w:tc>
      </w:tr>
    </w:tbl>
    <w:p>
      <w:r>
        <w:br w:type="page"/>
      </w:r>
    </w:p>
    <w:p>
      <w:pPr>
        <w:pStyle w:val="Heading1"/>
        <w:pBdr>
          <w:bottom w:val="single" w:color="008866" w:sz="10" w:space="6"/>
        </w:pBdr>
        <w:spacing w:after="140" w:before="400"/>
      </w:pPr>
      <w:r>
        <w:rPr>
          <w:rFonts w:ascii="Arial" w:cs="Arial" w:eastAsia="Arial" w:hAnsi="Arial"/>
          <w:b/>
          <w:bCs/>
          <w:color w:val="1A1A1A"/>
          <w:sz w:val="30"/>
          <w:szCs w:val="30"/>
        </w:rPr>
        <w:t xml:space="preserve">9 · Normalization — Tanh</w:t>
      </w:r>
    </w:p>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All signals are normalized to the range -1 to +1 using the hyperbolic tangent function (Tanh) before any weighting or combination. This is a hard requirement — do not use min-max scaling or z-score normalization.</w:t>
      </w:r>
    </w:p>
    <w:p>
      <w:pPr>
        <w:spacing w:after="80" w:before="80"/>
      </w:pPr>
      <w:r>
        <w:t xml:space="preserve"/>
      </w:r>
    </w:p>
    <w:p>
      <w:pPr>
        <w:pStyle w:val="Heading2"/>
        <w:spacing w:after="100" w:before="280"/>
      </w:pPr>
      <w:r>
        <w:rPr>
          <w:rFonts w:ascii="Arial" w:cs="Arial" w:eastAsia="Arial" w:hAnsi="Arial"/>
          <w:b/>
          <w:bCs/>
          <w:color w:val="008866"/>
          <w:sz w:val="23"/>
          <w:szCs w:val="23"/>
        </w:rPr>
        <w:t xml:space="preserve">Why Tanh</w:t>
      </w:r>
    </w:p>
    <w:p>
      <w:pPr>
        <w:spacing w:after="80" w:before="60"/>
      </w:pPr>
      <w:r>
        <w:rPr>
          <w:rFonts w:ascii="Arial" w:cs="Arial" w:eastAsia="Arial" w:hAnsi="Arial"/>
          <w:b w:val="false"/>
          <w:bCs w:val="false"/>
          <w:i w:val="false"/>
          <w:iCs w:val="false"/>
          <w:color w:val="1A1A1A"/>
          <w:sz w:val="20"/>
          <w:szCs w:val="20"/>
        </w:rPr>
        <w:t xml:space="preserve">Unlike min-max scaling, Tanh handles outliers gracefully. Extreme values compress toward -1 or +1 instead of distorting the scale for all other values. Commodity prices have fat tails and occasional extreme moves — Tanh absorbs these without breaking the scoring range.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08866" w:sz="18"/>
              <w:bottom w:val="single" w:color="CCCCCC" w:sz="1"/>
              <w:right w:val="single" w:color="CCCCCC" w:sz="1"/>
            </w:tcBorders>
            <w:shd w:fill="F5F5F5" w:val="clear"/>
            <w:tcMar>
              <w:top w:type="dxa" w:w="120"/>
              <w:left w:type="dxa" w:w="200"/>
              <w:bottom w:type="dxa" w:w="120"/>
              <w:right w:type="dxa" w:w="140"/>
            </w:tcMar>
          </w:tcPr>
          <w:p>
            <w:pPr>
              <w:spacing w:after="20" w:before="20"/>
            </w:pPr>
            <w:r>
              <w:rPr>
                <w:rFonts w:ascii="Courier New" w:cs="Courier New" w:eastAsia="Courier New" w:hAnsi="Courier New"/>
                <w:color w:val="333333"/>
                <w:sz w:val="18"/>
                <w:szCs w:val="18"/>
              </w:rPr>
              <w:t xml:space="preserve">tanh(x) = (e^x - e^-x) / (e^x + e^-x)</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Properties:</w:t>
            </w:r>
          </w:p>
          <w:p>
            <w:pPr>
              <w:spacing w:after="20" w:before="20"/>
            </w:pPr>
            <w:r>
              <w:rPr>
                <w:rFonts w:ascii="Courier New" w:cs="Courier New" w:eastAsia="Courier New" w:hAnsi="Courier New"/>
                <w:color w:val="333333"/>
                <w:sz w:val="18"/>
                <w:szCs w:val="18"/>
              </w:rPr>
              <w:t xml:space="preserve">  tanh(0)     = 0     (no signal)</w:t>
            </w:r>
          </w:p>
          <w:p>
            <w:pPr>
              <w:spacing w:after="20" w:before="20"/>
            </w:pPr>
            <w:r>
              <w:rPr>
                <w:rFonts w:ascii="Courier New" w:cs="Courier New" w:eastAsia="Courier New" w:hAnsi="Courier New"/>
                <w:color w:val="333333"/>
                <w:sz w:val="18"/>
                <w:szCs w:val="18"/>
              </w:rPr>
              <w:t xml:space="preserve">  tanh(1)    ~= 0.76</w:t>
            </w:r>
          </w:p>
          <w:p>
            <w:pPr>
              <w:spacing w:after="20" w:before="20"/>
            </w:pPr>
            <w:r>
              <w:rPr>
                <w:rFonts w:ascii="Courier New" w:cs="Courier New" w:eastAsia="Courier New" w:hAnsi="Courier New"/>
                <w:color w:val="333333"/>
                <w:sz w:val="18"/>
                <w:szCs w:val="18"/>
              </w:rPr>
              <w:t xml:space="preserve">  tanh(2)    ~= 0.96</w:t>
            </w:r>
          </w:p>
          <w:p>
            <w:pPr>
              <w:spacing w:after="20" w:before="20"/>
            </w:pPr>
            <w:r>
              <w:rPr>
                <w:rFonts w:ascii="Courier New" w:cs="Courier New" w:eastAsia="Courier New" w:hAnsi="Courier New"/>
                <w:color w:val="333333"/>
                <w:sz w:val="18"/>
                <w:szCs w:val="18"/>
              </w:rPr>
              <w:t xml:space="preserve">  tanh(3+)   ~= 1.0   (saturates — extreme values cap at 1)</w:t>
            </w:r>
          </w:p>
          <w:p>
            <w:pPr>
              <w:spacing w:after="20" w:before="20"/>
            </w:pPr>
            <w:r>
              <w:rPr>
                <w:rFonts w:ascii="Courier New" w:cs="Courier New" w:eastAsia="Courier New" w:hAnsi="Courier New"/>
                <w:color w:val="333333"/>
                <w:sz w:val="18"/>
                <w:szCs w:val="18"/>
              </w:rPr>
              <w:t xml:space="preserve">  Symmetric: tanh(-x) = -tanh(x)</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In Python: numpy.tanh(x)  or  math.tanh(x)</w:t>
            </w:r>
          </w:p>
        </w:tc>
      </w:tr>
    </w:tbl>
    <w:p>
      <w:pPr>
        <w:spacing w:after="80" w:before="80"/>
      </w:pPr>
      <w:r>
        <w:t xml:space="preserve"/>
      </w:r>
    </w:p>
    <w:p>
      <w:pPr>
        <w:pStyle w:val="Heading2"/>
        <w:spacing w:after="100" w:before="280"/>
      </w:pPr>
      <w:r>
        <w:rPr>
          <w:rFonts w:ascii="Arial" w:cs="Arial" w:eastAsia="Arial" w:hAnsi="Arial"/>
          <w:b/>
          <w:bCs/>
          <w:color w:val="008866"/>
          <w:sz w:val="23"/>
          <w:szCs w:val="23"/>
        </w:rPr>
        <w:t xml:space="preserve">Scaling before Tanh</w:t>
      </w:r>
    </w:p>
    <w:p>
      <w:pPr>
        <w:spacing w:after="80" w:before="60"/>
      </w:pPr>
      <w:r>
        <w:rPr>
          <w:rFonts w:ascii="Arial" w:cs="Arial" w:eastAsia="Arial" w:hAnsi="Arial"/>
          <w:b w:val="false"/>
          <w:bCs w:val="false"/>
          <w:i w:val="false"/>
          <w:iCs w:val="false"/>
          <w:color w:val="1A1A1A"/>
          <w:sz w:val="20"/>
          <w:szCs w:val="20"/>
        </w:rPr>
        <w:t xml:space="preserve">For ROC (S1) and regression slopes (S2, S3), the raw values may be very small (e.g. a slope of 0.0003). Apply a scaling factor before Tanh so that typical values map to a meaningful range (not all near zero). Determine the scaling factor empirically after the first run on the full dataset — aim for typical values in the -0.5 to +0.5 range before Tanh is applied.</w:t>
      </w:r>
    </w:p>
    <w:p>
      <w:r>
        <w:br w:type="page"/>
      </w:r>
    </w:p>
    <w:p>
      <w:pPr>
        <w:pStyle w:val="Heading1"/>
        <w:pBdr>
          <w:bottom w:val="single" w:color="008866" w:sz="10" w:space="6"/>
        </w:pBdr>
        <w:spacing w:after="140" w:before="400"/>
      </w:pPr>
      <w:r>
        <w:rPr>
          <w:rFonts w:ascii="Arial" w:cs="Arial" w:eastAsia="Arial" w:hAnsi="Arial"/>
          <w:b/>
          <w:bCs/>
          <w:color w:val="1A1A1A"/>
          <w:sz w:val="30"/>
          <w:szCs w:val="30"/>
        </w:rPr>
        <w:t xml:space="preserve">10 · Build Order</w:t>
      </w:r>
    </w:p>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Build in this exact sequence. Each step must be independently testable before the next begins. Do not skip steps.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400"/>
        <w:gridCol w:w="3360"/>
      </w:tblGrid>
      <w:tr>
        <w:tc>
          <w:tcPr>
            <w:tcW w:type="dxa" w:w="6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0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4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What to build</w:t>
            </w:r>
          </w:p>
        </w:tc>
        <w:tc>
          <w:tcPr>
            <w:tcW w:type="dxa" w:w="336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Test before proceeding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 loader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Load CSV, parse dates, sort, pivot to wide format. Compute daily_change and log_return series.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Print head/tail of each series. Verify no nulls.</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Tanh normalization utility</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Single function: normalize(value, scale) -&gt; tanh(value * scale)</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Test with known values. Confirm range stays -1 to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S1 — ROC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Rate of Change over 20 days. Normalize.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Run on copper. Check sign matches visual price chart.</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S2 — Short-term regression</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OLS log-return regression over 250 days. Extract slope. Normalize.</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Verify slope direction matches 1-year price trend.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S3 — Medium-term regression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Same as S4 over 500+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Verify slope direction matches multi-year trend.</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6</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S4 — Historical volatility</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Rolling std 20 days on log-returns. Percentile rank. Sign and classify.</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Check High periods match visually volatile price zones.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Score 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Weighted sum: 0.30 S1 + 0.30 S2 + 0.25 S3 + 0.15 S4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Print Score A for all commodities across full history. Inspect distribution.</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8</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B1 — Auto-ARIMA</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Fit Auto-ARIMA on daily_change per commodity. Forecast t+30. Compute cumulative return. Normalize to Score B.</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Check forecast direction against recent price trend.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B2 — GARCH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Fit GARCH(1,1) on daily_change per commodity. Forecast conditional variance t+30. Classify as Low/Moderate/High.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Verify High forward vol aligns with uncertain recent price periods.</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10</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Final Score</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Combine: 0.60 x Score A + 0.40 x Score B.</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Inspect distribution across full history. Check range is reasonable.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Calibration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Compute Final Score across full history. Derive p25 and p75 per commodity. Store.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Print thresholds. Verify roughly 25% of days fall above p75.</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12</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Signal &amp; Flag mapping</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Assign signal using p25/p75. Assign flag using signal + S4 + GARCH volatility classifications.</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Manually inspect 5-10 historical dates. Verify flag logic is correct.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Explanation generator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Template function: takes all computed values, returns explanation string.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Read 3-5 generated explanations. Verify they are accurate and readable.</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14</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Output assembler</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For each commodity, assemble full output block as dict/JSON.</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Run full pipeline on current date. Print all three output blocks.</w:t>
            </w:r>
          </w:p>
        </w:tc>
      </w:tr>
    </w:tbl>
    <w:p>
      <w:r>
        <w:br w:type="page"/>
      </w:r>
    </w:p>
    <w:p>
      <w:pPr>
        <w:pStyle w:val="Heading1"/>
        <w:pBdr>
          <w:bottom w:val="single" w:color="008866" w:sz="10" w:space="6"/>
        </w:pBdr>
        <w:spacing w:after="140" w:before="400"/>
      </w:pPr>
      <w:r>
        <w:rPr>
          <w:rFonts w:ascii="Arial" w:cs="Arial" w:eastAsia="Arial" w:hAnsi="Arial"/>
          <w:b/>
          <w:bCs/>
          <w:color w:val="1A1A1A"/>
          <w:sz w:val="30"/>
          <w:szCs w:val="30"/>
        </w:rPr>
        <w:t xml:space="preserve">11 · Design Decisions Log</w:t>
      </w:r>
    </w:p>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Every major design decision made during specification is documented here with its rationale. Do not override these without a documented reason.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28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What was decided</w:t>
            </w:r>
          </w:p>
        </w:tc>
        <w:tc>
          <w:tcPr>
            <w:tcW w:type="dxa" w:w="436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Engine weights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60% Evolution, 40% Forecast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Analyst trusts what has happened more than a projection. Backward-looking signals are more reliable for decision-support.</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S1/S2 weights equal</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Both 0.30</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S1 captures immediate direction. S2 captures sustained trend. Both are equally important for the analyst's decision horizon.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S3 weight 0.25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Lower than S1/S2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Medium-term trend provides structural context, not actionable signal. Carries less weight accordingly.</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S4 weight 0.15</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Lowest signal weight</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Volatility is a modifier, not a directional signal. It primarily influences the flag, not the score.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Log-returns for regression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Not raw prices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Raw prices violate autocorrelation and homoscedasticity assumptions. Log-returns are stationary and resolve both issues.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Daily change for Engine B</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Price_t / Price_t-1, not log()</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Stationary series. Intuitive ratio: &gt; 1.0 = up, &lt; 1.0 = down. Aligns with analyst's mental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ARIMA for direction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Not LSTM or Prophet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Explainability is a hard requirement. ARIMA is auditable. Black-box models fail this requirement.</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GARCH for forward vol</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Added in V2</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Forecasting returns inherently captures forward volatility. GARCH separates this cleanly from historical vol (S4).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Two vol signals in flag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S4 + GARCH both required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They measure different time directions. One backward, one forward. Alert only fires when both are elevated.</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Tanh normalization</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Not min-max or z-score</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Commodity data has fat tails and outliers. Tanh compresses extremes rather than letting them distort the scale.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Thresholds from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p25/p75 per commodity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Hardcoded thresholds assume a distribution. Real thresholds must come from the actual score distribution per commodity.</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Thresholds per commodity</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Not global</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Copper, nickel, and aluminium have different volatility profiles. One global threshold would misclassify all three.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Forecast horizon 30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Not 20 days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30 days aligns with the Short-Term decision window. More meaningful for the analyst than 20.</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Calibration static V1</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Run once, not rolling</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Simplicity for V1. Rolling recalibration is the upgrade path in the slot design.</w:t>
            </w:r>
          </w:p>
        </w:tc>
      </w:tr>
    </w:tbl>
    <w:p>
      <w:r>
        <w:br w:type="page"/>
      </w:r>
    </w:p>
    <w:p>
      <w:pPr>
        <w:pStyle w:val="Heading1"/>
        <w:pBdr>
          <w:bottom w:val="single" w:color="008866" w:sz="10" w:space="6"/>
        </w:pBdr>
        <w:spacing w:after="140" w:before="400"/>
      </w:pPr>
      <w:r>
        <w:rPr>
          <w:rFonts w:ascii="Arial" w:cs="Arial" w:eastAsia="Arial" w:hAnsi="Arial"/>
          <w:b/>
          <w:bCs/>
          <w:color w:val="1A1A1A"/>
          <w:sz w:val="30"/>
          <w:szCs w:val="30"/>
        </w:rPr>
        <w:t xml:space="preserve">12 · What NOT to Build</w:t>
      </w:r>
    </w:p>
    <w:p>
      <w:pPr>
        <w:spacing w:after="80" w:before="80"/>
      </w:pPr>
      <w:r>
        <w:t xml:space="preserve"/>
      </w:r>
    </w:p>
    <w:p>
      <w:pPr>
        <w:spacing w:after="80" w:before="60"/>
      </w:pPr>
      <w:r>
        <w:rPr>
          <w:rFonts w:ascii="Arial" w:cs="Arial" w:eastAsia="Arial" w:hAnsi="Arial"/>
          <w:b w:val="false"/>
          <w:bCs w:val="false"/>
          <w:i w:val="false"/>
          <w:iCs w:val="false"/>
          <w:color w:val="1A1A1A"/>
          <w:sz w:val="20"/>
          <w:szCs w:val="20"/>
        </w:rPr>
        <w:t xml:space="preserve">These are explicit exclusions. Do not add these features, even if they seem like improvements.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Do NOT build</w:t>
            </w:r>
          </w:p>
        </w:tc>
        <w:tc>
          <w:tcPr>
            <w:tcW w:type="dxa" w:w="6560"/>
            <w:tcBorders>
              <w:top w:val="single" w:color="CCCCCC" w:sz="1"/>
              <w:left w:val="single" w:color="CCCCCC" w:sz="1"/>
              <w:bottom w:val="single" w:color="CCCCCC" w:sz="1"/>
              <w:right w:val="single" w:color="CCCCCC" w:sz="1"/>
            </w:tcBorders>
            <w:shd w:fill="008866"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Long-term signal (10+ years)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 starts 2020. Only 6 years available. Cannot build a meaningful long-term regression.</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Cross-commodity aggregation</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Each commodity produces its own independent output block. Never average or combine scores across commodities.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Real-time or streaming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Input is a CSV file. No API feed or live data in V1.</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Automated decision execution</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This is decision-SUPPORT. The analyst makes the call. The system provides a score and explanation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LSTM or neural networks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Fails the explainability requirement. The analyst must be able to understand why the signal says what it says.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Forecast beyond 30 days</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Horizon is fixed at 30 trading days. Longer horizons are unreliable for ARIMA on daily returns.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Global signal thresholds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Thresholds are per-commodity. A single global threshold ignores the different price dynamics of each metal.</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News or sentiment data</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18"/>
                <w:szCs w:val="18"/>
              </w:rPr>
              <w:t xml:space="preserve">That belongs to the News Block — built separately. Price Block is price data only.</w:t>
            </w:r>
          </w:p>
        </w:tc>
      </w:tr>
    </w:tbl>
    <w:p>
      <w:pPr>
        <w:spacing w:after="80" w:before="80"/>
      </w:pPr>
      <w:r>
        <w:t xml:space="preserve"/>
      </w:r>
    </w:p>
    <w:p>
      <w:pPr>
        <w:spacing w:after="80" w:before="80"/>
      </w:pPr>
      <w:r>
        <w:t xml:space="preserve"/>
      </w:r>
    </w:p>
    <w:p>
      <w:pPr>
        <w:pBdr>
          <w:top w:val="single" w:color="CCCCCC" w:sz="4" w:space="6"/>
        </w:pBdr>
        <w:spacing w:after="0" w:before="200"/>
      </w:pPr>
      <w:r>
        <w:rPr>
          <w:rFonts w:ascii="Arial" w:cs="Arial" w:eastAsia="Arial" w:hAnsi="Arial"/>
          <w:i/>
          <w:iCs/>
          <w:color w:val="555555"/>
          <w:sz w:val="16"/>
          <w:szCs w:val="16"/>
        </w:rPr>
        <w:t xml:space="preserve">Price Block Handover Document V2.0  ·  Commodity Monitoring System  ·  For internal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sz w:val="30"/>
      <w:szCs w:val="30"/>
    </w:rPr>
  </w:style>
  <w:style w:type="paragraph" w:styleId="Heading2">
    <w:name w:val="Heading 2"/>
    <w:basedOn w:val="Normal"/>
    <w:next w:val="Normal"/>
    <w:qFormat/>
    <w:pPr>
      <w:spacing w:after="100" w:before="2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2026-04-09T13:18:50.765Z</dcterms:created>
  <dcterms:modified xsi:type="dcterms:W3CDTF">2026-04-09T13:18:50.766Z</dcterms:modified>
</cp:coreProperties>
</file>

<file path=docProps/custom.xml><?xml version="1.0" encoding="utf-8"?>
<Properties xmlns="http://schemas.openxmlformats.org/officeDocument/2006/custom-properties" xmlns:vt="http://schemas.openxmlformats.org/officeDocument/2006/docPropsVTypes"/>
</file>