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ubik-bold.ttf" ContentType="application/x-font-ttf"/>
  <Override PartName="/word/fonts/Rubik-boldItalic.ttf" ContentType="application/x-font-ttf"/>
  <Override PartName="/word/fonts/Rubik-italic.ttf" ContentType="application/x-font-ttf"/>
  <Override PartName="/word/fonts/Rubi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5.920000076293945"/>
          <w:szCs w:val="25.920000076293945"/>
          <w:u w:val="single"/>
          <w:rtl w:val="0"/>
        </w:rPr>
        <w:t xml:space="preserve">C</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single"/>
          <w:shd w:fill="auto" w:val="clear"/>
          <w:vertAlign w:val="baseline"/>
          <w:rtl w:val="0"/>
        </w:rPr>
        <w:t xml:space="preserve">ONTRACT FOR EMPLOYMENT OF ATTORNEYS </w:t>
      </w:r>
      <w:r w:rsidDel="00000000" w:rsidR="00000000" w:rsidRPr="00000000">
        <w:rPr>
          <w:rtl w:val="0"/>
        </w:rPr>
      </w:r>
    </w:p>
    <w:p w:rsidR="00000000" w:rsidDel="00000000" w:rsidP="00000000" w:rsidRDefault="00000000" w:rsidRPr="00000000" w14:paraId="00000002">
      <w:pPr>
        <w:widowControl w:val="0"/>
        <w:spacing w:after="240" w:before="240" w:line="231.906909942626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This Retainer Agreement (“Agreement”) is entered into between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Matter.Client.Name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«Client Name»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(“Client”) and Richards &amp; Law (“Attorney”), for the purpose of providing legal representation related to the damages sustained in an incident that occurred on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Matter.CustomField.AccidentDate.Verbose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«Accident Date»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By executing this Agreement, Client employs Attorney to investigate, pursue, negotiate, and, if necessary, litigate claims for damages against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Matter.CustomField.DefendantName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«Defendant Name»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who may be responsible for such damages suffered by Client as a result of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accident.</w:t>
      </w:r>
    </w:p>
    <w:p w:rsidR="00000000" w:rsidDel="00000000" w:rsidP="00000000" w:rsidRDefault="00000000" w:rsidRPr="00000000" w14:paraId="00000003">
      <w:pPr>
        <w:widowControl w:val="0"/>
        <w:spacing w:after="240" w:before="240" w:line="231.906909942626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own.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Scope of Representation</w:t>
      </w:r>
      <w:r w:rsidDel="00000000" w:rsidR="00000000" w:rsidRPr="00000000">
        <w:rPr>
          <w:rtl w:val="0"/>
        </w:rPr>
      </w:r>
    </w:p>
    <w:p w:rsidR="00000000" w:rsidDel="00000000" w:rsidP="00000000" w:rsidRDefault="00000000" w:rsidRPr="00000000" w14:paraId="00000005">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cooperation is essential to the effective handling of the Claim.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6788330078125"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Accident Details &amp; Insurance</w:t>
      </w:r>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incident giving rise to this Claim occurred 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Matter.CustomField.AccidentLocation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«Accident Location»</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At the time of the accident, Client was operating or occupying a vehicle bearing registration plate number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Matter.CustomField.RegistrationPlate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«Registration Plate»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The circumstances surrounding the incident, including the actions of the involved parties and any contributing factors, will be further investigated by Attorney as part of the representation under this Agreement.</w:t>
      </w:r>
    </w:p>
    <w:p w:rsidR="00000000" w:rsidDel="00000000" w:rsidP="00000000" w:rsidRDefault="00000000" w:rsidRPr="00000000" w14:paraId="0000000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is authorized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rsidR="00000000" w:rsidDel="00000000" w:rsidP="00000000" w:rsidRDefault="00000000" w:rsidRPr="00000000" w14:paraId="0000000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{Include this Paragraph if No. Injured in the Police Report &gt; 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Additionally, since the motor vehicle accident involved an injured person, Attorney will also investigate potential bodily injury claims and review relevant medical records to substantiate non-economic damages.</w:t>
      </w:r>
    </w:p>
    <w:p w:rsidR="00000000" w:rsidDel="00000000" w:rsidP="00000000" w:rsidRDefault="00000000" w:rsidRPr="00000000" w14:paraId="0000000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{Include this Paragraph if No. Injured in the Police Report = 0}</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However, since the motor vehicle accident involved no reported injured people, the scope of this engagement is strictly limited to the recovery of property damage and loss of use.</w:t>
      </w: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Litigation Expenses</w:t>
      </w:r>
      <w:r w:rsidDel="00000000" w:rsidR="00000000" w:rsidRPr="00000000">
        <w:rPr>
          <w:rtl w:val="0"/>
        </w:rPr>
      </w:r>
    </w:p>
    <w:p w:rsidR="00000000" w:rsidDel="00000000" w:rsidP="00000000" w:rsidRDefault="00000000" w:rsidRPr="00000000" w14:paraId="0000000C">
      <w:pPr>
        <w:widowControl w:val="0"/>
        <w:spacing w:after="240" w:before="240" w:line="230.130085945129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rsidR="00000000" w:rsidDel="00000000" w:rsidP="00000000" w:rsidRDefault="00000000" w:rsidRPr="00000000" w14:paraId="0000000D">
      <w:pPr>
        <w:widowControl w:val="0"/>
        <w:spacing w:after="240" w:before="240" w:line="230.1300859451294"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These Litigation Expenses will be reimbursed to Attorney from Client’s share of the recovery in addition to the contingency fee. Client understands that these expenses are separate from medical bills, liens, or other financial obligations for which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Matter.CustomField.ClientPronounSubject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«he/she»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may remain personally responsible.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9016113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sz w:val="24"/>
          <w:szCs w:val="24"/>
          <w:u w:val="single"/>
          <w:rtl w:val="0"/>
        </w:rPr>
        <w:t xml:space="preserve">Liens, Subrogation, and Other Obligations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0F">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settlement or judgment. Client hereby authorizes Attorney to negotiate, settle, and satisfy such claims from the proceeds of any recovery. Attorney may engage specialized lien resolution services or other professionals to assist in this process, and the cost of such services shall be treated as a Litigation Expense.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Statute of Limitations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2415952682495" w:lineRule="auto"/>
        <w:ind w:left="2.400054931640625" w:right="0" w:firstLine="4.080047607421875"/>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Attorney will monitor and calculate the deadline for filing the Claim in accordance with applicable law. Based on current information, the statute of limitations for this matter is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Matter.CustomField.StatuteOfLimitationsDate.Verbose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«Statute Date»</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Client acknowledges the importance of timely cooperation in providing documents, records, and information necessary for Attorney to meet all legal deadlines.</w:t>
      </w:r>
    </w:p>
    <w:p w:rsidR="00000000" w:rsidDel="00000000" w:rsidP="00000000" w:rsidRDefault="00000000" w:rsidRPr="00000000" w14:paraId="00000012">
      <w:pPr>
        <w:pStyle w:val="Heading2"/>
        <w:keepNext w:val="0"/>
        <w:keepLines w:val="0"/>
        <w:widowControl w:val="0"/>
        <w:spacing w:line="229.2415952682495" w:lineRule="auto"/>
        <w:ind w:left="2.400054931640625" w:firstLine="4.080047607421875"/>
        <w:jc w:val="center"/>
        <w:rPr>
          <w:rFonts w:ascii="Times New Roman" w:cs="Times New Roman" w:eastAsia="Times New Roman" w:hAnsi="Times New Roman"/>
          <w:sz w:val="34"/>
          <w:szCs w:val="34"/>
        </w:rPr>
      </w:pPr>
      <w:bookmarkStart w:colFirst="0" w:colLast="0" w:name="_3ar4zrq3xn4n" w:id="0"/>
      <w:bookmarkEnd w:id="0"/>
      <w:r w:rsidDel="00000000" w:rsidR="00000000" w:rsidRPr="00000000">
        <w:rPr>
          <w:rFonts w:ascii="Times New Roman" w:cs="Times New Roman" w:eastAsia="Times New Roman" w:hAnsi="Times New Roman"/>
          <w:sz w:val="24"/>
          <w:szCs w:val="24"/>
          <w:u w:val="single"/>
          <w:rtl w:val="0"/>
        </w:rPr>
        <w:t xml:space="preserve">Termination of Representation</w:t>
      </w:r>
      <w:r w:rsidDel="00000000" w:rsidR="00000000" w:rsidRPr="00000000">
        <w:rPr>
          <w:rtl w:val="0"/>
        </w:rPr>
      </w:r>
    </w:p>
    <w:p w:rsidR="00000000" w:rsidDel="00000000" w:rsidP="00000000" w:rsidRDefault="00000000" w:rsidRPr="00000000" w14:paraId="00000013">
      <w:pPr>
        <w:widowControl w:val="0"/>
        <w:spacing w:after="240" w:before="240" w:line="229.2415952682495"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w:t>
      </w:r>
      <w:r>
        <w:rPr>
          <w:rFonts w:ascii="Times New Roman" w:cs="Times New Roman" w:eastAsia="Times New Roman" w:hAnsi="Times New Roman"/>
          <w:sz w:val="24"/>
          <w:szCs w:val="24"/>
          <w:rtl w:val="0"/>
        </w:rPr>
        <w:fldChar w:fldCharType="begin"/>
      </w:r>
      <w:r>
        <w:rPr>
          <w:rFonts w:ascii="Times New Roman" w:cs="Times New Roman" w:eastAsia="Times New Roman" w:hAnsi="Times New Roman"/>
          <w:sz w:val="24"/>
          <w:szCs w:val="24"/>
          <w:rtl w:val="0"/>
        </w:rPr>
        <w:instrText xml:space="preserve"> MERGEFIELD  Matter.CustomField.ClientPronounPossessive </w:instrText>
      </w:r>
      <w:r>
        <w:rPr>
          <w:rFonts w:ascii="Times New Roman" w:cs="Times New Roman" w:eastAsia="Times New Roman" w:hAnsi="Times New Roman"/>
          <w:sz w:val="24"/>
          <w:szCs w:val="24"/>
          <w:rtl w:val="0"/>
        </w:rPr>
        <w:fldChar w:fldCharType="separate"/>
      </w:r>
      <w:r>
        <w:rPr>
          <w:rFonts w:ascii="Times New Roman" w:cs="Times New Roman" w:eastAsia="Times New Roman" w:hAnsi="Times New Roman"/>
          <w:sz w:val="24"/>
          <w:szCs w:val="24"/>
          <w:rtl w:val="0"/>
        </w:rPr>
        <w:t xml:space="preserve">«his/her»</w:t>
      </w:r>
      <w:r>
        <w:rPr>
          <w:rFonts w:ascii="Times New Roman" w:cs="Times New Roman" w:eastAsia="Times New Roman" w:hAnsi="Times New Roman"/>
          <w:sz w:val="24"/>
          <w:szCs w:val="24"/>
          <w:rtl w:val="0"/>
        </w:rPr>
        <w:fldChar w:fldCharType="end"/>
      </w:r>
      <w:r>
        <w:rPr>
          <w:rFonts w:ascii="Times New Roman" w:cs="Times New Roman" w:eastAsia="Times New Roman" w:hAnsi="Times New Roman"/>
          <w:sz w:val="24"/>
          <w:szCs w:val="24"/>
          <w:rtl w:val="0"/>
        </w:rPr>
        <w:t xml:space="preserve"> obligation to compensate Attorney in such cases shall be limited to the reasonable value of the services rendered up to the point of termination.</w:t>
      </w:r>
    </w:p>
    <w:p w:rsidR="00000000" w:rsidDel="00000000" w:rsidP="00000000" w:rsidRDefault="00000000" w:rsidRPr="00000000" w14:paraId="00000014">
      <w:pPr>
        <w:widowControl w:val="0"/>
        <w:spacing w:after="200" w:line="240" w:lineRule="auto"/>
        <w:ind w:left="2.400054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BY: </w:t>
      </w:r>
    </w:p>
    <w:p w:rsidR="00000000" w:rsidDel="00000000" w:rsidP="00000000" w:rsidRDefault="00000000" w:rsidRPr="00000000" w14:paraId="00000015">
      <w:pPr>
        <w:widowControl w:val="0"/>
        <w:spacing w:after="240" w:before="360" w:line="229.2415952682495" w:lineRule="auto"/>
        <w:jc w:val="both"/>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CLIENT </w:t>
      </w:r>
      <w:r w:rsidDel="00000000" w:rsidR="00000000" w:rsidRPr="00000000">
        <w:rPr>
          <w:rFonts w:ascii="Times New Roman" w:cs="Times New Roman" w:eastAsia="Times New Roman" w:hAnsi="Times New Roman"/>
          <w:sz w:val="20.15999984741211"/>
          <w:szCs w:val="20.15999984741211"/>
          <w:rtl w:val="0"/>
        </w:rPr>
        <w:t xml:space="preserve">___________________________                                                    Date: _____________________</w:t>
      </w:r>
    </w:p>
    <w:p w:rsidR="00000000" w:rsidDel="00000000" w:rsidP="00000000" w:rsidRDefault="00000000" w:rsidRPr="00000000" w14:paraId="00000016">
      <w:pPr>
        <w:widowControl w:val="0"/>
        <w:spacing w:after="240" w:before="0" w:line="229.2415952682495" w:lineRule="auto"/>
        <w:jc w:val="both"/>
        <w:rPr>
          <w:rFonts w:ascii="Times New Roman" w:cs="Times New Roman" w:eastAsia="Times New Roman" w:hAnsi="Times New Roman"/>
          <w:b w:val="1"/>
          <w:bCs w:val="1"/>
          <w:sz w:val="20.15999984741211"/>
          <w:szCs w:val="20.15999984741211"/>
        </w:rPr>
      </w:pPr>
      <w:r>
        <w:rPr>
          <w:rFonts w:ascii="Times New Roman" w:cs="Times New Roman" w:eastAsia="Times New Roman" w:hAnsi="Times New Roman"/>
          <w:b w:val="1"/>
          <w:bCs w:val="1"/>
          <w:sz w:val="20.15999984741211"/>
          <w:szCs w:val="20.15999984741211"/>
          <w:rtl w:val="0"/>
        </w:rPr>
        <w:fldChar w:fldCharType="begin"/>
      </w:r>
      <w:r>
        <w:rPr>
          <w:rFonts w:ascii="Times New Roman" w:cs="Times New Roman" w:eastAsia="Times New Roman" w:hAnsi="Times New Roman"/>
          <w:b w:val="1"/>
          <w:bCs w:val="1"/>
          <w:sz w:val="20.15999984741211"/>
          <w:szCs w:val="20.15999984741211"/>
          <w:rtl w:val="0"/>
        </w:rPr>
        <w:instrText xml:space="preserve"> MERGEFIELD  Matter.Client.Name </w:instrText>
      </w:r>
      <w:r>
        <w:rPr>
          <w:rFonts w:ascii="Times New Roman" w:cs="Times New Roman" w:eastAsia="Times New Roman" w:hAnsi="Times New Roman"/>
          <w:b w:val="1"/>
          <w:bCs w:val="1"/>
          <w:sz w:val="20.15999984741211"/>
          <w:szCs w:val="20.15999984741211"/>
          <w:rtl w:val="0"/>
        </w:rPr>
        <w:fldChar w:fldCharType="separate"/>
      </w:r>
      <w:r>
        <w:rPr>
          <w:rFonts w:ascii="Times New Roman" w:cs="Times New Roman" w:eastAsia="Times New Roman" w:hAnsi="Times New Roman"/>
          <w:b w:val="1"/>
          <w:bCs w:val="1"/>
          <w:sz w:val="20.15999984741211"/>
          <w:szCs w:val="20.15999984741211"/>
          <w:rtl w:val="0"/>
        </w:rPr>
        <w:t xml:space="preserve">«Client Name»</w:t>
      </w:r>
      <w:r>
        <w:rPr>
          <w:rFonts w:ascii="Times New Roman" w:cs="Times New Roman" w:eastAsia="Times New Roman" w:hAnsi="Times New Roman"/>
          <w:b w:val="1"/>
          <w:bCs w:val="1"/>
          <w:sz w:val="20.15999984741211"/>
          <w:szCs w:val="20.15999984741211"/>
          <w:rtl w:val="0"/>
        </w:rPr>
        <w:fldChar w:fldCharType="end"/>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197387695312" w:line="240" w:lineRule="auto"/>
        <w:ind w:left="0" w:right="0" w:firstLine="0"/>
        <w:jc w:val="left"/>
        <w:rPr>
          <w:rFonts w:ascii="Times New Roman" w:cs="Times New Roman" w:eastAsia="Times New Roman" w:hAnsi="Times New Roman"/>
          <w:sz w:val="20.15999984741211"/>
          <w:szCs w:val="20.15999984741211"/>
        </w:rPr>
      </w:pPr>
      <w:r w:rsidDel="00000000" w:rsidR="00000000" w:rsidRPr="00000000">
        <w:rPr>
          <w:rFonts w:ascii="Times New Roman" w:cs="Times New Roman" w:eastAsia="Times New Roman" w:hAnsi="Times New Roman"/>
          <w:sz w:val="20.15999984741211"/>
          <w:szCs w:val="20.15999984741211"/>
          <w:rtl w:val="0"/>
        </w:rPr>
        <w:t xml:space="preserve">Richards &amp; Law</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sz w:val="20.15999984741211"/>
          <w:szCs w:val="20.15999984741211"/>
          <w:rtl w:val="0"/>
        </w:rPr>
        <w:t xml:space="preserve">Attorney _____</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____________________</w:t>
      </w:r>
      <w:r w:rsidDel="00000000" w:rsidR="00000000" w:rsidRPr="00000000">
        <w:rPr>
          <w:rFonts w:ascii="Times New Roman" w:cs="Times New Roman" w:eastAsia="Times New Roman" w:hAnsi="Times New Roman"/>
          <w:sz w:val="20.15999984741211"/>
          <w:szCs w:val="20.15999984741211"/>
          <w:rtl w:val="0"/>
        </w:rPr>
        <w:t xml:space="preserve">_</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00" w:line="229.2415952682495" w:lineRule="auto"/>
        <w:ind w:left="0" w:right="0" w:firstLine="0"/>
        <w:jc w:val="both"/>
        <w:rPr>
          <w:rFonts w:ascii="Rubik" w:cs="Rubik" w:eastAsia="Rubik" w:hAnsi="Rubik"/>
          <w:b w:val="1"/>
          <w:bCs w:val="1"/>
          <w:i w:val="1"/>
          <w:iCs w:val="1"/>
          <w:highlight w:val="yellow"/>
        </w:rPr>
      </w:pPr>
      <w:r w:rsidDel="00000000" w:rsidR="00000000" w:rsidRPr="00000000">
        <w:rPr>
          <w:rFonts w:ascii="Times New Roman" w:cs="Times New Roman" w:eastAsia="Times New Roman" w:hAnsi="Times New Roman"/>
          <w:b w:val="1"/>
          <w:bCs w:val="1"/>
          <w:sz w:val="20.15999984741211"/>
          <w:szCs w:val="20.15999984741211"/>
          <w:rtl w:val="0"/>
        </w:rPr>
        <w:t xml:space="preserve">Andrew Richards</w:t>
      </w:r>
      <w:r w:rsidDel="00000000" w:rsidR="00000000" w:rsidRPr="00000000">
        <w:rPr>
          <w:rtl w:val="0"/>
        </w:rPr>
      </w:r>
    </w:p>
    <w:sectPr>
      <w:headerReference r:id="rId6" w:type="default"/>
      <w:headerReference r:id="rId7" w:type="first"/>
      <w:footerReference r:id="rId8" w:type="first"/>
      <w:pgSz w:h="15840" w:w="12240" w:orient="portrait"/>
      <w:pgMar w:bottom="1095" w:top="1425.714111328125" w:left="1444.4338989257812" w:right="1372.7966308593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ubi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spacing w:before="20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before="200" w:line="240" w:lineRule="auto"/>
      <w:jc w:val="center"/>
      <w:rPr/>
    </w:pPr>
    <w:r w:rsidDel="00000000" w:rsidR="00000000" w:rsidRPr="00000000">
      <w:rPr>
        <w:color w:val="0f1518"/>
        <w:sz w:val="21.119998931884766"/>
        <w:szCs w:val="21.119998931884766"/>
      </w:rPr>
      <w:drawing>
        <wp:inline distB="114300" distT="114300" distL="114300" distR="114300">
          <wp:extent cx="4349230" cy="868176"/>
          <wp:effectExtent b="0" l="0" r="0" t="0"/>
          <wp:docPr id="1" name="image1.png"/>
          <a:graphic>
            <a:graphicData uri="http://schemas.openxmlformats.org/drawingml/2006/picture">
              <pic:pic>
                <pic:nvPicPr>
                  <pic:cNvPr id="0" name="image1.png"/>
                  <pic:cNvPicPr preferRelativeResize="0"/>
                </pic:nvPicPr>
                <pic:blipFill>
                  <a:blip r:embed="rId1"/>
                  <a:srcRect b="36050" l="0" r="0" t="34111"/>
                  <a:stretch>
                    <a:fillRect/>
                  </a:stretch>
                </pic:blipFill>
                <pic:spPr>
                  <a:xfrm>
                    <a:off x="0" y="0"/>
                    <a:ext cx="4349230" cy="86817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ubik-regular.ttf"/><Relationship Id="rId2" Type="http://schemas.openxmlformats.org/officeDocument/2006/relationships/font" Target="fonts/Rubik-bold.ttf"/><Relationship Id="rId3" Type="http://schemas.openxmlformats.org/officeDocument/2006/relationships/font" Target="fonts/Rubik-italic.ttf"/><Relationship Id="rId4" Type="http://schemas.openxmlformats.org/officeDocument/2006/relationships/font" Target="fonts/Rubik-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