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ubik-bold.ttf" ContentType="application/x-font-ttf"/>
  <Override PartName="/word/fonts/Rubik-boldItalic.ttf" ContentType="application/x-font-ttf"/>
  <Override PartName="/word/fonts/Rubik-italic.ttf" ContentType="application/x-font-ttf"/>
  <Override PartName="/word/fonts/Rubi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5.920000076293945"/>
          <w:szCs w:val="25.920000076293945"/>
          <w:u w:val="single"/>
          <w:rtl w:val="0"/>
        </w:rPr>
        <w:t xml:space="preserve">C</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single"/>
          <w:shd w:fill="auto" w:val="clear"/>
          <w:vertAlign w:val="baseline"/>
          <w:rtl w:val="0"/>
        </w:rPr>
        <w:t xml:space="preserve">ONTRACT FOR EMPLOYMENT OF ATTORNEYS </w:t>
      </w:r>
      <w:r w:rsidDel="00000000" w:rsidR="00000000" w:rsidRPr="00000000">
        <w:rPr>
          <w:rtl w:val="0"/>
        </w:rPr>
      </w:r>
    </w:p>
    <w:p w:rsidR="00000000" w:rsidDel="00000000" w:rsidP="00000000" w:rsidRDefault="00000000" w:rsidRPr="00000000" w14:paraId="00000002">
      <w:pPr>
        <w:widowControl w:val="0"/>
        <w:spacing w:after="240" w:before="240" w:line="231.9069099426269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Retainer Agreement (“Agreement”) is entered into between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Matter.Client.Name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«Client Name»</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(“Client”) and Richards &amp; Law (“Attorney”), for the purpose of providing legal representation related to the damages sustained in an incident that occurred on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Matter.CustomField.AccidentDate.Verbose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«Accident Date»</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By executing this Agreement, Client employs Attorney to investigate, pursue, negotiate, and, if necessary, litigate claims for damages against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Matter.CustomField.DefendantName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«Defendant Name»</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who may be responsible for such damages suffered by Client as a result of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Matter.CustomField.ClientPronounPossessive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«his/her»</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accident.</w:t>
      </w:r>
    </w:p>
    <w:p w:rsidR="00000000" w:rsidDel="00000000" w:rsidP="00000000" w:rsidRDefault="00000000" w:rsidRPr="00000000" w14:paraId="00000003">
      <w:pPr>
        <w:widowControl w:val="0"/>
        <w:spacing w:after="240" w:before="240" w:line="231.9069099426269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Representation under this Agreement is expressly limited to the matter described herein (“the Claim”) and does not extend to any other legal issues unless separately agreed to in writing by both Client and Attorney. Attorney does not provide tax, accounting, or financial advisory services, and any such issues are outside the scope of this representation. Client is encouraged to consult separate professionals for such matters, as those responsibilities remain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Matter.CustomField.ClientPronounPossessive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«his/her»</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own.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34277343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u w:val="single"/>
          <w:rtl w:val="0"/>
        </w:rPr>
        <w:t xml:space="preserve">Scope of Representation</w:t>
      </w:r>
      <w:r w:rsidDel="00000000" w:rsidR="00000000" w:rsidRPr="00000000">
        <w:rPr>
          <w:rtl w:val="0"/>
        </w:rPr>
      </w:r>
    </w:p>
    <w:p w:rsidR="00000000" w:rsidDel="00000000" w:rsidP="00000000" w:rsidRDefault="00000000" w:rsidRPr="00000000" w14:paraId="00000005">
      <w:pPr>
        <w:widowControl w:val="0"/>
        <w:spacing w:after="240" w:before="240" w:line="229.241595268249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Attorney shall undertake all reasonable and necessary legal efforts to diligently protect and advance Client’s interests in the Claim, extending to both settlement negotiations and litigation proceedings where appropriate. Client agrees to cooperate fully by providing truthful information, timely responses, and all relevant documents or records as requested. Client acknowledges that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Matter.CustomField.ClientPronounPossessive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«his/her»</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cooperation is essential to the effective handling of the Claim.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788330078125"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Accident Details &amp; Insurance</w:t>
      </w:r>
      <w:r w:rsidDel="00000000" w:rsidR="00000000" w:rsidRPr="00000000">
        <w:rPr>
          <w:rtl w:val="0"/>
        </w:rPr>
      </w:r>
    </w:p>
    <w:p w:rsidR="00000000" w:rsidDel="00000000" w:rsidP="00000000" w:rsidRDefault="00000000" w:rsidRPr="00000000" w14:paraId="00000007">
      <w:pPr>
        <w:widowControl w:val="0"/>
        <w:spacing w:after="240" w:before="24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incident giving rise to this Claim occurred at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Matter.CustomField.AccidentLocation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«Accident Location»</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At the time of the accident, Client was operating or occupying a vehicle bearing registration plate number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Matter.CustomField.RegistrationPlate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«Registration Plate»</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The circumstances surrounding the incident, including the actions of the involved parties and any contributing factors, will be further investigated by Attorney as part of the representation under this Agreement.</w:t>
      </w:r>
    </w:p>
    <w:p w:rsidR="00000000" w:rsidDel="00000000" w:rsidP="00000000" w:rsidRDefault="00000000" w:rsidRPr="00000000" w14:paraId="0000000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Attorney is authorized to investigate the liability aspects of the incident, including the collection of police reports, witness statements, and property damage appraisals to determine the full extent of recoverable damages. Client understands that preserving evidence and providing truthful disclosures regarding the events leading to the loss are material obligations under this Agreement. This investigation will serve as the basis for identifying all applicable insurance coverage and responsible parties.</w:t>
      </w:r>
    </w:p>
    <w:p w:rsidR="00000000" w:rsidDel="00000000" w:rsidP="00000000" w:rsidRDefault="00000000" w:rsidRPr="00000000" w14:paraId="0000000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since the motor vehicle accident involved an injured person, Attorney will also investigate potential bodily injury claims and review relevant medical records to substantiate non-economic damages.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u w:val="single"/>
          <w:rtl w:val="0"/>
        </w:rPr>
        <w:t xml:space="preserve">Litigation Expenses</w:t>
      </w:r>
      <w:r w:rsidDel="00000000" w:rsidR="00000000" w:rsidRPr="00000000">
        <w:rPr>
          <w:rtl w:val="0"/>
        </w:rPr>
      </w:r>
    </w:p>
    <w:p w:rsidR="00000000" w:rsidDel="00000000" w:rsidP="00000000" w:rsidRDefault="00000000" w:rsidRPr="00000000" w14:paraId="0000000C">
      <w:pPr>
        <w:widowControl w:val="0"/>
        <w:spacing w:after="240" w:before="240" w:line="230.13008594512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Attorney will advance all reasonable costs and expenses necessary for the proper handling of the Claim (“Litigation Expenses”). Such expenses may include, but are not limited to, court filing fees, deposition costs, expert witness fees, medical record retrieval, travel expenses, investigative services, and administrative charges associated with case management.</w:t>
      </w:r>
    </w:p>
    <w:p w:rsidR="00000000" w:rsidDel="00000000" w:rsidP="00000000" w:rsidRDefault="00000000" w:rsidRPr="00000000" w14:paraId="0000000D">
      <w:pPr>
        <w:widowControl w:val="0"/>
        <w:spacing w:after="240" w:before="240" w:line="230.1300859451294"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These Litigation Expenses will be reimbursed to Attorney from Client’s share of the recovery in addition to the contingency fee. Client understands that these expenses are separate from medical bills, liens, or other financial obligations for which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Matter.CustomField.ClientPronounSubject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«he/she»</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may remain personally responsible.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901611328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u w:val="single"/>
          <w:rtl w:val="0"/>
        </w:rPr>
        <w:t xml:space="preserve">Liens, Subrogation, and Other Obligations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p>
    <w:p w:rsidR="00000000" w:rsidDel="00000000" w:rsidP="00000000" w:rsidRDefault="00000000" w:rsidRPr="00000000" w14:paraId="0000000F">
      <w:pPr>
        <w:widowControl w:val="0"/>
        <w:spacing w:after="240" w:before="240" w:line="229.241595268249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Client understands that certain parties, such as healthcare providers, insurers, or government agencies (including Medicare or Medicaid), may have a legal right to reimbursement for payments made on Client’s behalf. These are commonly referred to as liens or subrogation claims, and may affect the final amount received by Client from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Matter.CustomField.ClientPronounPossessive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«his/her»</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settlement or judgment. Client hereby authorizes Attorney to negotiate, settle, and satisfy such claims from the proceeds of any recovery. Attorney may engage specialized lien resolution services or other professionals to assist in this process, and the cost of such services shall be treated as a Litigation Expense.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2415952682495" w:lineRule="auto"/>
        <w:ind w:left="2.400054931640625" w:right="0" w:firstLine="4.080047607421875"/>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Statute of Limitations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2415952682495" w:lineRule="auto"/>
        <w:ind w:left="2.400054931640625" w:right="0" w:firstLine="4.080047607421875"/>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Attorney will monitor and calculate the deadline for filing the Claim in accordance with applicable law. Based on current information, the statute of limitations for this matter is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Matter.CustomField.StatuteOfLimitationsDate.Verbose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«Statute Date»</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Client acknowledges the importance of timely cooperation in providing documents, records, and information necessary for Attorney to meet all legal deadlines.</w:t>
      </w:r>
    </w:p>
    <w:p w:rsidR="00000000" w:rsidDel="00000000" w:rsidP="00000000" w:rsidRDefault="00000000" w:rsidRPr="00000000" w14:paraId="00000012">
      <w:pPr>
        <w:pStyle w:val="Heading2"/>
        <w:keepNext w:val="0"/>
        <w:keepLines w:val="0"/>
        <w:widowControl w:val="0"/>
        <w:spacing w:line="229.2415952682495" w:lineRule="auto"/>
        <w:ind w:left="2.400054931640625" w:firstLine="4.080047607421875"/>
        <w:jc w:val="center"/>
        <w:rPr>
          <w:rFonts w:ascii="Times New Roman" w:cs="Times New Roman" w:eastAsia="Times New Roman" w:hAnsi="Times New Roman"/>
          <w:sz w:val="34"/>
          <w:szCs w:val="34"/>
        </w:rPr>
      </w:pPr>
      <w:bookmarkStart w:colFirst="0" w:colLast="0" w:name="_3ar4zrq3xn4n" w:id="0"/>
      <w:bookmarkEnd w:id="0"/>
      <w:r w:rsidDel="00000000" w:rsidR="00000000" w:rsidRPr="00000000">
        <w:rPr>
          <w:rFonts w:ascii="Times New Roman" w:cs="Times New Roman" w:eastAsia="Times New Roman" w:hAnsi="Times New Roman"/>
          <w:sz w:val="24"/>
          <w:szCs w:val="24"/>
          <w:u w:val="single"/>
          <w:rtl w:val="0"/>
        </w:rPr>
        <w:t xml:space="preserve">Termination of Representation</w:t>
      </w:r>
      <w:r w:rsidDel="00000000" w:rsidR="00000000" w:rsidRPr="00000000">
        <w:rPr>
          <w:rtl w:val="0"/>
        </w:rPr>
      </w:r>
    </w:p>
    <w:p w:rsidR="00000000" w:rsidDel="00000000" w:rsidP="00000000" w:rsidRDefault="00000000" w:rsidRPr="00000000" w14:paraId="00000013">
      <w:pPr>
        <w:widowControl w:val="0"/>
        <w:spacing w:after="240" w:before="240" w:line="229.241595268249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Either party may terminate this Agreement upon reasonable written notice. If Client terminates this Agreement after substantial work has been performed, Attorney may assert a claim for attorney’s fees based on the reasonable value of services rendered, payable from any eventual recovery. Client agrees that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Matter.CustomField.ClientPronounPossessive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«his/her»</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obligation to compensate Attorney in such cases shall be limited to the reasonable value of the services rendered up to the point of termination.</w:t>
      </w:r>
    </w:p>
    <w:p w:rsidR="00000000" w:rsidDel="00000000" w:rsidP="00000000" w:rsidRDefault="00000000" w:rsidRPr="00000000" w14:paraId="00000014">
      <w:pPr>
        <w:widowControl w:val="0"/>
        <w:spacing w:after="200" w:line="240" w:lineRule="auto"/>
        <w:ind w:left="2.400054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BY: </w:t>
      </w:r>
    </w:p>
    <w:p w:rsidR="00000000" w:rsidDel="00000000" w:rsidP="00000000" w:rsidRDefault="00000000" w:rsidRPr="00000000" w14:paraId="00000015">
      <w:pPr>
        <w:widowControl w:val="0"/>
        <w:spacing w:after="240" w:before="360" w:line="229.2415952682495" w:lineRule="auto"/>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CLIENT </w:t>
      </w:r>
      <w:r w:rsidDel="00000000" w:rsidR="00000000" w:rsidRPr="00000000">
        <w:rPr>
          <w:rFonts w:ascii="Times New Roman" w:cs="Times New Roman" w:eastAsia="Times New Roman" w:hAnsi="Times New Roman"/>
          <w:sz w:val="20.15999984741211"/>
          <w:szCs w:val="20.15999984741211"/>
          <w:rtl w:val="0"/>
        </w:rPr>
        <w:t xml:space="preserve">___________________________                                                    Date: _____________________</w:t>
      </w:r>
    </w:p>
    <w:p w:rsidR="00000000" w:rsidDel="00000000" w:rsidP="00000000" w:rsidRDefault="00000000" w:rsidRPr="00000000" w14:paraId="00000016">
      <w:pPr>
        <w:widowControl w:val="0"/>
        <w:spacing w:after="240" w:before="0" w:line="229.2415952682495" w:lineRule="auto"/>
        <w:jc w:val="both"/>
        <w:rPr>
          <w:rFonts w:ascii="Times New Roman" w:cs="Times New Roman" w:eastAsia="Times New Roman" w:hAnsi="Times New Roman"/>
          <w:b w:val="1"/>
          <w:bCs w:val="1"/>
          <w:sz w:val="20.15999984741211"/>
          <w:szCs w:val="20.15999984741211"/>
        </w:rPr>
      </w:pPr>
      <w:r>
        <w:rPr>
          <w:rFonts w:ascii="Times New Roman" w:cs="Times New Roman" w:eastAsia="Times New Roman" w:hAnsi="Times New Roman"/>
          <w:b w:val="1"/>
          <w:bCs w:val="1"/>
          <w:sz w:val="20.15999984741211"/>
          <w:szCs w:val="20.15999984741211"/>
          <w:rtl w:val="0"/>
        </w:rPr>
        <w:fldChar w:fldCharType="begin"/>
      </w:r>
      <w:r>
        <w:rPr>
          <w:rFonts w:ascii="Times New Roman" w:cs="Times New Roman" w:eastAsia="Times New Roman" w:hAnsi="Times New Roman"/>
          <w:b w:val="1"/>
          <w:bCs w:val="1"/>
          <w:sz w:val="20.15999984741211"/>
          <w:szCs w:val="20.15999984741211"/>
          <w:rtl w:val="0"/>
        </w:rPr>
        <w:instrText xml:space="preserve"> MERGEFIELD  Matter.Client.Name </w:instrText>
      </w:r>
      <w:r>
        <w:rPr>
          <w:rFonts w:ascii="Times New Roman" w:cs="Times New Roman" w:eastAsia="Times New Roman" w:hAnsi="Times New Roman"/>
          <w:b w:val="1"/>
          <w:bCs w:val="1"/>
          <w:sz w:val="20.15999984741211"/>
          <w:szCs w:val="20.15999984741211"/>
          <w:rtl w:val="0"/>
        </w:rPr>
        <w:fldChar w:fldCharType="separate"/>
      </w:r>
      <w:r>
        <w:rPr>
          <w:rFonts w:ascii="Times New Roman" w:cs="Times New Roman" w:eastAsia="Times New Roman" w:hAnsi="Times New Roman"/>
          <w:b w:val="1"/>
          <w:bCs w:val="1"/>
          <w:sz w:val="20.15999984741211"/>
          <w:szCs w:val="20.15999984741211"/>
          <w:rtl w:val="0"/>
        </w:rPr>
        <w:t xml:space="preserve">«Client Name»</w:t>
      </w:r>
      <w:r>
        <w:rPr>
          <w:rFonts w:ascii="Times New Roman" w:cs="Times New Roman" w:eastAsia="Times New Roman" w:hAnsi="Times New Roman"/>
          <w:b w:val="1"/>
          <w:bCs w:val="1"/>
          <w:sz w:val="20.15999984741211"/>
          <w:szCs w:val="20.15999984741211"/>
          <w:rtl w:val="0"/>
        </w:rPr>
        <w:fldChar w:fldCharType="end"/>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197387695312" w:line="240" w:lineRule="auto"/>
        <w:ind w:left="0" w:right="0" w:firstLine="0"/>
        <w:jc w:val="lef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Richards &amp; Law</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sz w:val="20.15999984741211"/>
          <w:szCs w:val="20.15999984741211"/>
          <w:rtl w:val="0"/>
        </w:rPr>
        <w:t xml:space="preserve">Attorney _____</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Date: ____________________</w:t>
      </w:r>
      <w:r w:rsidDel="00000000" w:rsidR="00000000" w:rsidRPr="00000000">
        <w:rPr>
          <w:rFonts w:ascii="Times New Roman" w:cs="Times New Roman" w:eastAsia="Times New Roman" w:hAnsi="Times New Roman"/>
          <w:sz w:val="20.15999984741211"/>
          <w:szCs w:val="20.15999984741211"/>
          <w:rtl w:val="0"/>
        </w:rPr>
        <w:t xml:space="preserve">_</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29.2415952682495" w:lineRule="auto"/>
        <w:ind w:left="0" w:right="0" w:firstLine="0"/>
        <w:jc w:val="both"/>
        <w:rPr>
          <w:rFonts w:ascii="Rubik" w:cs="Rubik" w:eastAsia="Rubik" w:hAnsi="Rubik"/>
          <w:b w:val="1"/>
          <w:bCs w:val="1"/>
          <w:i w:val="1"/>
          <w:iCs w:val="1"/>
          <w:highlight w:val="yellow"/>
        </w:rPr>
      </w:pPr>
      <w:r w:rsidDel="00000000" w:rsidR="00000000" w:rsidRPr="00000000">
        <w:rPr>
          <w:rFonts w:ascii="Times New Roman" w:cs="Times New Roman" w:eastAsia="Times New Roman" w:hAnsi="Times New Roman"/>
          <w:b w:val="1"/>
          <w:bCs w:val="1"/>
          <w:sz w:val="20.15999984741211"/>
          <w:szCs w:val="20.15999984741211"/>
          <w:rtl w:val="0"/>
        </w:rPr>
        <w:t xml:space="preserve">Andrew Richards</w:t>
      </w:r>
      <w:r w:rsidDel="00000000" w:rsidR="00000000" w:rsidRPr="00000000">
        <w:rPr>
          <w:rtl w:val="0"/>
        </w:rPr>
      </w:r>
    </w:p>
    <w:sectPr>
      <w:headerReference r:id="rId6" w:type="default"/>
      <w:headerReference r:id="rId7" w:type="first"/>
      <w:footerReference r:id="rId8" w:type="first"/>
      <w:pgSz w:h="15840" w:w="12240" w:orient="portrait"/>
      <w:pgMar w:bottom="1095" w:top="1425.714111328125" w:left="1444.4338989257812" w:right="1372.796630859375"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ubi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spacing w:before="200" w:line="240" w:lineRule="auto"/>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spacing w:before="200" w:line="240" w:lineRule="auto"/>
      <w:jc w:val="center"/>
      <w:rPr/>
    </w:pPr>
    <w:r w:rsidDel="00000000" w:rsidR="00000000" w:rsidRPr="00000000">
      <w:rPr>
        <w:color w:val="0f1518"/>
        <w:sz w:val="21.119998931884766"/>
        <w:szCs w:val="21.119998931884766"/>
      </w:rPr>
      <w:drawing>
        <wp:inline distB="114300" distT="114300" distL="114300" distR="114300">
          <wp:extent cx="4349230" cy="868176"/>
          <wp:effectExtent b="0" l="0" r="0" t="0"/>
          <wp:docPr id="1" name="image1.png"/>
          <a:graphic>
            <a:graphicData uri="http://schemas.openxmlformats.org/drawingml/2006/picture">
              <pic:pic>
                <pic:nvPicPr>
                  <pic:cNvPr id="0" name="image1.png"/>
                  <pic:cNvPicPr preferRelativeResize="0"/>
                </pic:nvPicPr>
                <pic:blipFill>
                  <a:blip r:embed="rId1"/>
                  <a:srcRect b="36050" l="0" r="0" t="34111"/>
                  <a:stretch>
                    <a:fillRect/>
                  </a:stretch>
                </pic:blipFill>
                <pic:spPr>
                  <a:xfrm>
                    <a:off x="0" y="0"/>
                    <a:ext cx="4349230" cy="86817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ubik-regular.ttf"/><Relationship Id="rId2" Type="http://schemas.openxmlformats.org/officeDocument/2006/relationships/font" Target="fonts/Rubik-bold.ttf"/><Relationship Id="rId3" Type="http://schemas.openxmlformats.org/officeDocument/2006/relationships/font" Target="fonts/Rubik-italic.ttf"/><Relationship Id="rId4" Type="http://schemas.openxmlformats.org/officeDocument/2006/relationships/font" Target="fonts/Rubik-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