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27F0F9B7" wp14:textId="77777777">
      <w:pPr>
        <w:spacing w:before="1800" w:after="200"/>
      </w:pPr>
      <w:r>
        <w:rPr>
          <w:rFonts w:ascii="Palatino Linotype" w:hAnsi="Palatino Linotype" w:eastAsia="Palatino Linotype" w:cs="Palatino Linotype"/>
          <w:b/>
          <w:bCs/>
          <w:color w:val="0D1E43"/>
          <w:sz w:val="52"/>
          <w:szCs w:val="52"/>
        </w:rPr>
        <w:t xml:space="preserve">The China Playbook for Emerging Asia</w:t>
      </w:r>
    </w:p>
    <w:p xmlns:wp14="http://schemas.microsoft.com/office/word/2010/wordml" w:rsidP="1A1F4882" w14:paraId="672A6659" wp14:textId="732D9DBB">
      <w:pPr>
        <w:spacing w:after="120"/>
      </w:pPr>
      <w:r w:rsidRPr="1A1F4882" w:rsidR="1A1F4882">
        <w:rPr>
          <w:rFonts w:ascii="Palatino Linotype" w:hAnsi="Palatino Linotype" w:eastAsia="Palatino Linotype" w:cs="Palatino Linotype"/>
          <w:color w:val="1F6FD1"/>
          <w:sz w:val="30"/>
          <w:szCs w:val="30"/>
        </w:rPr>
        <w:t>Working draft: outline, Part I and Part II (Chapters 1 to 5)</w:t>
      </w:r>
      <w:r>
        <w:br w:type="page"/>
      </w:r>
    </w:p>
    <w:p xmlns:wp14="http://schemas.microsoft.com/office/word/2010/wordml" w:rsidP="1A1F4882" w14:paraId="0F0C386D" wp14:textId="77777777">
      <w:pPr>
        <w:pStyle w:val="Heading1"/>
        <w:rPr>
          <w:sz w:val="28"/>
          <w:szCs w:val="28"/>
        </w:rPr>
      </w:pPr>
      <w:r w:rsidRPr="1A1F4882" w:rsidR="1A1F4882">
        <w:rPr>
          <w:sz w:val="28"/>
          <w:szCs w:val="28"/>
        </w:rPr>
        <w:t>Outline</w:t>
      </w:r>
    </w:p>
    <w:p xmlns:wp14="http://schemas.microsoft.com/office/word/2010/wordml" w:rsidP="1A1F4882" w14:paraId="2EC9C1CD" wp14:textId="77777777">
      <w:pPr>
        <w:pStyle w:val="Heading3"/>
        <w:rPr>
          <w:sz w:val="20"/>
          <w:szCs w:val="20"/>
        </w:rPr>
      </w:pPr>
      <w:r w:rsidRPr="1A1F4882" w:rsidR="1A1F4882">
        <w:rPr>
          <w:sz w:val="20"/>
          <w:szCs w:val="20"/>
        </w:rPr>
        <w:t>The question</w:t>
      </w:r>
    </w:p>
    <w:p xmlns:wp14="http://schemas.microsoft.com/office/word/2010/wordml" w:rsidP="1A1F4882" w14:paraId="65CE29B0" wp14:textId="59311C8C">
      <w:pPr>
        <w:spacing w:after="140" w:line="300" w:lineRule="auto"/>
      </w:pPr>
      <w:r w:rsidRPr="1A1F4882" w:rsidR="1A1F4882">
        <w:rPr>
          <w:rFonts w:ascii="Segoe UI" w:hAnsi="Segoe UI" w:eastAsia="Segoe UI" w:cs="Segoe UI"/>
          <w:sz w:val="21"/>
          <w:szCs w:val="21"/>
          <w:lang w:val="en-US"/>
        </w:rPr>
        <w:t xml:space="preserve">How did Chinese makers win so much of the industrial-equipment market in India and Southeast Asia, through which buyers, </w:t>
      </w:r>
      <w:r w:rsidRPr="1A1F4882" w:rsidR="1A1F4882">
        <w:rPr>
          <w:rFonts w:ascii="Segoe UI" w:hAnsi="Segoe UI" w:eastAsia="Segoe UI" w:cs="Segoe UI"/>
          <w:sz w:val="21"/>
          <w:szCs w:val="21"/>
          <w:lang w:val="en-US"/>
        </w:rPr>
        <w:t>dealers</w:t>
      </w:r>
      <w:r w:rsidRPr="1A1F4882" w:rsidR="1A1F4882">
        <w:rPr>
          <w:rFonts w:ascii="Segoe UI" w:hAnsi="Segoe UI" w:eastAsia="Segoe UI" w:cs="Segoe UI"/>
          <w:sz w:val="21"/>
          <w:szCs w:val="21"/>
          <w:lang w:val="en-US"/>
        </w:rPr>
        <w:t xml:space="preserve"> and partners, and what should </w:t>
      </w:r>
      <w:r w:rsidRPr="1A1F4882" w:rsidR="1A1F4882">
        <w:rPr>
          <w:rFonts w:ascii="Segoe UI" w:hAnsi="Segoe UI" w:eastAsia="Segoe UI" w:cs="Segoe UI"/>
          <w:sz w:val="21"/>
          <w:szCs w:val="21"/>
          <w:lang w:val="en-US"/>
        </w:rPr>
        <w:t>established</w:t>
      </w:r>
      <w:r w:rsidRPr="1A1F4882" w:rsidR="1A1F4882">
        <w:rPr>
          <w:rFonts w:ascii="Segoe UI" w:hAnsi="Segoe UI" w:eastAsia="Segoe UI" w:cs="Segoe UI"/>
          <w:sz w:val="21"/>
          <w:szCs w:val="21"/>
          <w:lang w:val="en-US"/>
        </w:rPr>
        <w:t xml:space="preserve"> makers and their dealers learn from it?</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700"/>
        <w:gridCol w:w="1226"/>
      </w:tblGrid>
      <w:tr xmlns:wp14="http://schemas.microsoft.com/office/word/2010/wordml" w:rsidTr="1A1F4882" w14:paraId="2E0E45A1" wp14:textId="77777777">
        <w:trPr>
          <w:tblHeader/>
        </w:trPr>
        <w:tc>
          <w:tcPr>
            <w:tcW w:w="1500" w:type="dxa"/>
            <w:tcBorders>
              <w:top w:val="single" w:color="BFC8D6" w:sz="4"/>
              <w:left w:val="single" w:color="BFC8D6" w:sz="4"/>
              <w:bottom w:val="single" w:color="BFC8D6" w:sz="4"/>
              <w:right w:val="single" w:color="BFC8D6" w:sz="4"/>
            </w:tcBorders>
            <w:shd w:val="clear" w:color="auto" w:fill="0D1E43"/>
            <w:tcMar>
              <w:top w:w="60" w:type="dxa"/>
              <w:left w:w="90" w:type="dxa"/>
              <w:bottom w:w="60" w:type="dxa"/>
              <w:right w:w="90" w:type="dxa"/>
            </w:tcMar>
          </w:tcPr>
          <w:p w14:paraId="0E22CBCA" wp14:textId="77777777">
            <w:r>
              <w:rPr>
                <w:rFonts w:ascii="Segoe UI" w:hAnsi="Segoe UI" w:eastAsia="Segoe UI" w:cs="Segoe UI"/>
                <w:b/>
                <w:bCs/>
                <w:color w:val="FFFFFF"/>
                <w:sz w:val="18"/>
                <w:szCs w:val="18"/>
              </w:rPr>
              <w:t xml:space="preserve">Part</w:t>
            </w:r>
          </w:p>
        </w:tc>
        <w:tc>
          <w:tcPr>
            <w:tcW w:w="2600" w:type="dxa"/>
            <w:tcBorders>
              <w:top w:val="single" w:color="BFC8D6" w:sz="4"/>
              <w:left w:val="single" w:color="BFC8D6" w:sz="4"/>
              <w:bottom w:val="single" w:color="BFC8D6" w:sz="4"/>
              <w:right w:val="single" w:color="BFC8D6" w:sz="4"/>
            </w:tcBorders>
            <w:shd w:val="clear" w:color="auto" w:fill="0D1E43"/>
            <w:tcMar>
              <w:top w:w="60" w:type="dxa"/>
              <w:left w:w="90" w:type="dxa"/>
              <w:bottom w:w="60" w:type="dxa"/>
              <w:right w:w="90" w:type="dxa"/>
            </w:tcMar>
          </w:tcPr>
          <w:p w14:paraId="3A2DD3DE" wp14:textId="77777777">
            <w:r>
              <w:rPr>
                <w:rFonts w:ascii="Segoe UI" w:hAnsi="Segoe UI" w:eastAsia="Segoe UI" w:cs="Segoe UI"/>
                <w:b/>
                <w:bCs/>
                <w:color w:val="FFFFFF"/>
                <w:sz w:val="18"/>
                <w:szCs w:val="18"/>
              </w:rPr>
              <w:t xml:space="preserve">Question it answers</w:t>
            </w:r>
          </w:p>
        </w:tc>
        <w:tc>
          <w:tcPr>
            <w:tcW w:w="3700" w:type="dxa"/>
            <w:tcBorders>
              <w:top w:val="single" w:color="BFC8D6" w:sz="4"/>
              <w:left w:val="single" w:color="BFC8D6" w:sz="4"/>
              <w:bottom w:val="single" w:color="BFC8D6" w:sz="4"/>
              <w:right w:val="single" w:color="BFC8D6" w:sz="4"/>
            </w:tcBorders>
            <w:shd w:val="clear" w:color="auto" w:fill="0D1E43"/>
            <w:tcMar>
              <w:top w:w="60" w:type="dxa"/>
              <w:left w:w="90" w:type="dxa"/>
              <w:bottom w:w="60" w:type="dxa"/>
              <w:right w:w="90" w:type="dxa"/>
            </w:tcMar>
          </w:tcPr>
          <w:p w14:paraId="6BFF0DB1" wp14:textId="77777777">
            <w:r>
              <w:rPr>
                <w:rFonts w:ascii="Segoe UI" w:hAnsi="Segoe UI" w:eastAsia="Segoe UI" w:cs="Segoe UI"/>
                <w:b/>
                <w:bCs/>
                <w:color w:val="FFFFFF"/>
                <w:sz w:val="18"/>
                <w:szCs w:val="18"/>
              </w:rPr>
              <w:t xml:space="preserve">Answer in one line</w:t>
            </w:r>
          </w:p>
        </w:tc>
        <w:tc>
          <w:tcPr>
            <w:tcW w:w="1226" w:type="dxa"/>
            <w:tcBorders>
              <w:top w:val="single" w:color="BFC8D6" w:sz="4"/>
              <w:left w:val="single" w:color="BFC8D6" w:sz="4"/>
              <w:bottom w:val="single" w:color="BFC8D6" w:sz="4"/>
              <w:right w:val="single" w:color="BFC8D6" w:sz="4"/>
            </w:tcBorders>
            <w:shd w:val="clear" w:color="auto" w:fill="0D1E43"/>
            <w:tcMar>
              <w:top w:w="60" w:type="dxa"/>
              <w:left w:w="90" w:type="dxa"/>
              <w:bottom w:w="60" w:type="dxa"/>
              <w:right w:w="90" w:type="dxa"/>
            </w:tcMar>
          </w:tcPr>
          <w:p w14:paraId="5ECBD080" wp14:textId="77777777">
            <w:r>
              <w:rPr>
                <w:rFonts w:ascii="Segoe UI" w:hAnsi="Segoe UI" w:eastAsia="Segoe UI" w:cs="Segoe UI"/>
                <w:b/>
                <w:bCs/>
                <w:color w:val="FFFFFF"/>
                <w:sz w:val="18"/>
                <w:szCs w:val="18"/>
              </w:rPr>
              <w:t xml:space="preserve">Chapters</w:t>
            </w:r>
          </w:p>
        </w:tc>
      </w:tr>
      <w:tr xmlns:wp14="http://schemas.microsoft.com/office/word/2010/wordml" w:rsidTr="1A1F4882" w14:paraId="430305F2" wp14:textId="77777777">
        <w:trPr>
          <w:tblHeader w:val="false"/>
        </w:trPr>
        <w:tc>
          <w:tcPr>
            <w:tcW w:w="1500" w:type="dxa"/>
            <w:tcBorders>
              <w:top w:val="single" w:color="BFC8D6" w:sz="4"/>
              <w:left w:val="single" w:color="BFC8D6" w:sz="4"/>
              <w:bottom w:val="single" w:color="BFC8D6" w:sz="4"/>
              <w:right w:val="single" w:color="BFC8D6" w:sz="4"/>
            </w:tcBorders>
            <w:tcMar>
              <w:top w:w="60" w:type="dxa"/>
              <w:left w:w="90" w:type="dxa"/>
              <w:bottom w:w="60" w:type="dxa"/>
              <w:right w:w="90" w:type="dxa"/>
            </w:tcMar>
          </w:tcPr>
          <w:p w14:paraId="54FD1E5B" wp14:textId="77777777">
            <w:r>
              <w:rPr>
                <w:rFonts w:ascii="Segoe UI" w:hAnsi="Segoe UI" w:eastAsia="Segoe UI" w:cs="Segoe UI"/>
                <w:b w:val="false"/>
                <w:bCs w:val="false"/>
                <w:color w:val="000000"/>
                <w:sz w:val="18"/>
                <w:szCs w:val="18"/>
              </w:rPr>
              <w:t xml:space="preserve">I. What happened</w:t>
            </w:r>
          </w:p>
        </w:tc>
        <w:tc>
          <w:tcPr>
            <w:tcW w:w="2600" w:type="dxa"/>
            <w:tcBorders>
              <w:top w:val="single" w:color="BFC8D6" w:sz="4"/>
              <w:left w:val="single" w:color="BFC8D6" w:sz="4"/>
              <w:bottom w:val="single" w:color="BFC8D6" w:sz="4"/>
              <w:right w:val="single" w:color="BFC8D6" w:sz="4"/>
            </w:tcBorders>
            <w:tcMar>
              <w:top w:w="60" w:type="dxa"/>
              <w:left w:w="90" w:type="dxa"/>
              <w:bottom w:w="60" w:type="dxa"/>
              <w:right w:w="90" w:type="dxa"/>
            </w:tcMar>
          </w:tcPr>
          <w:p w14:paraId="7F544467" wp14:textId="77777777">
            <w:r>
              <w:rPr>
                <w:rFonts w:ascii="Segoe UI" w:hAnsi="Segoe UI" w:eastAsia="Segoe UI" w:cs="Segoe UI"/>
                <w:b w:val="false"/>
                <w:bCs w:val="false"/>
                <w:color w:val="000000"/>
                <w:sz w:val="18"/>
                <w:szCs w:val="18"/>
              </w:rPr>
              <w:t xml:space="preserve">What changed, who lost, and how did one maker do it?</w:t>
            </w:r>
          </w:p>
        </w:tc>
        <w:tc>
          <w:tcPr>
            <w:tcW w:w="3700" w:type="dxa"/>
            <w:tcBorders>
              <w:top w:val="single" w:color="BFC8D6" w:sz="4"/>
              <w:left w:val="single" w:color="BFC8D6" w:sz="4"/>
              <w:bottom w:val="single" w:color="BFC8D6" w:sz="4"/>
              <w:right w:val="single" w:color="BFC8D6" w:sz="4"/>
            </w:tcBorders>
            <w:tcMar>
              <w:top w:w="60" w:type="dxa"/>
              <w:left w:w="90" w:type="dxa"/>
              <w:bottom w:w="60" w:type="dxa"/>
              <w:right w:w="90" w:type="dxa"/>
            </w:tcMar>
          </w:tcPr>
          <w:p w14:paraId="20DBBDA8" wp14:textId="77777777">
            <w:r>
              <w:rPr>
                <w:rFonts w:ascii="Segoe UI" w:hAnsi="Segoe UI" w:eastAsia="Segoe UI" w:cs="Segoe UI"/>
                <w:b w:val="false"/>
                <w:bCs w:val="false"/>
                <w:color w:val="000000"/>
                <w:sz w:val="18"/>
                <w:szCs w:val="18"/>
              </w:rPr>
              <w:t xml:space="preserve">Chinese makers went abroad when home sales collapsed, stayed because it paid, and took share mostly from Japanese brands. SANY in Indonesia shows how the moves built on each other.</w:t>
            </w:r>
          </w:p>
        </w:tc>
        <w:tc>
          <w:tcPr>
            <w:tcW w:w="1226" w:type="dxa"/>
            <w:tcBorders>
              <w:top w:val="single" w:color="BFC8D6" w:sz="4"/>
              <w:left w:val="single" w:color="BFC8D6" w:sz="4"/>
              <w:bottom w:val="single" w:color="BFC8D6" w:sz="4"/>
              <w:right w:val="single" w:color="BFC8D6" w:sz="4"/>
            </w:tcBorders>
            <w:tcMar>
              <w:top w:w="60" w:type="dxa"/>
              <w:left w:w="90" w:type="dxa"/>
              <w:bottom w:w="60" w:type="dxa"/>
              <w:right w:w="90" w:type="dxa"/>
            </w:tcMar>
          </w:tcPr>
          <w:p w14:paraId="25503E34" wp14:textId="77777777">
            <w:r>
              <w:rPr>
                <w:rFonts w:ascii="Segoe UI" w:hAnsi="Segoe UI" w:eastAsia="Segoe UI" w:cs="Segoe UI"/>
                <w:b w:val="false"/>
                <w:bCs w:val="false"/>
                <w:color w:val="000000"/>
                <w:sz w:val="18"/>
                <w:szCs w:val="18"/>
              </w:rPr>
              <w:t xml:space="preserve">1, 2</w:t>
            </w:r>
          </w:p>
        </w:tc>
      </w:tr>
      <w:tr xmlns:wp14="http://schemas.microsoft.com/office/word/2010/wordml" w:rsidTr="1A1F4882" w14:paraId="27B2567A" wp14:textId="77777777">
        <w:trPr>
          <w:tblHeader w:val="false"/>
        </w:trPr>
        <w:tc>
          <w:tcPr>
            <w:tcW w:w="1500" w:type="dxa"/>
            <w:tcBorders>
              <w:top w:val="single" w:color="BFC8D6" w:sz="4"/>
              <w:left w:val="single" w:color="BFC8D6" w:sz="4"/>
              <w:bottom w:val="single" w:color="BFC8D6" w:sz="4"/>
              <w:right w:val="single" w:color="BFC8D6" w:sz="4"/>
            </w:tcBorders>
            <w:tcMar>
              <w:top w:w="60" w:type="dxa"/>
              <w:left w:w="90" w:type="dxa"/>
              <w:bottom w:w="60" w:type="dxa"/>
              <w:right w:w="90" w:type="dxa"/>
            </w:tcMar>
          </w:tcPr>
          <w:p w14:paraId="21988F04" wp14:textId="77777777">
            <w:r>
              <w:rPr>
                <w:rFonts w:ascii="Segoe UI" w:hAnsi="Segoe UI" w:eastAsia="Segoe UI" w:cs="Segoe UI"/>
                <w:b w:val="false"/>
                <w:bCs w:val="false"/>
                <w:color w:val="000000"/>
                <w:sz w:val="18"/>
                <w:szCs w:val="18"/>
              </w:rPr>
              <w:t xml:space="preserve">II. How they won the everyday end</w:t>
            </w:r>
          </w:p>
        </w:tc>
        <w:tc>
          <w:tcPr>
            <w:tcW w:w="2600" w:type="dxa"/>
            <w:tcBorders>
              <w:top w:val="single" w:color="BFC8D6" w:sz="4"/>
              <w:left w:val="single" w:color="BFC8D6" w:sz="4"/>
              <w:bottom w:val="single" w:color="BFC8D6" w:sz="4"/>
              <w:right w:val="single" w:color="BFC8D6" w:sz="4"/>
            </w:tcBorders>
            <w:tcMar>
              <w:top w:w="60" w:type="dxa"/>
              <w:left w:w="90" w:type="dxa"/>
              <w:bottom w:w="60" w:type="dxa"/>
              <w:right w:w="90" w:type="dxa"/>
            </w:tcMar>
          </w:tcPr>
          <w:p w14:paraId="051A3E1C" wp14:textId="77777777">
            <w:r w:rsidRPr="1A1F4882" w:rsidR="1A1F4882">
              <w:rPr>
                <w:rFonts w:ascii="Segoe UI" w:hAnsi="Segoe UI" w:eastAsia="Segoe UI" w:cs="Segoe UI"/>
                <w:b w:val="0"/>
                <w:bCs w:val="0"/>
                <w:color w:val="000000"/>
                <w:sz w:val="18"/>
                <w:szCs w:val="18"/>
                <w:lang w:val="en-GB"/>
              </w:rPr>
              <w:t>How did unknown brands win buyers, dealers and governments?</w:t>
            </w:r>
          </w:p>
        </w:tc>
        <w:tc>
          <w:tcPr>
            <w:tcW w:w="3700" w:type="dxa"/>
            <w:tcBorders>
              <w:top w:val="single" w:color="BFC8D6" w:sz="4"/>
              <w:left w:val="single" w:color="BFC8D6" w:sz="4"/>
              <w:bottom w:val="single" w:color="BFC8D6" w:sz="4"/>
              <w:right w:val="single" w:color="BFC8D6" w:sz="4"/>
            </w:tcBorders>
            <w:tcMar>
              <w:top w:w="60" w:type="dxa"/>
              <w:left w:w="90" w:type="dxa"/>
              <w:bottom w:w="60" w:type="dxa"/>
              <w:right w:w="90" w:type="dxa"/>
            </w:tcMar>
          </w:tcPr>
          <w:p w14:paraId="4329EF25" wp14:textId="77777777">
            <w:r w:rsidRPr="1A1F4882" w:rsidR="1A1F4882">
              <w:rPr>
                <w:rFonts w:ascii="Segoe UI" w:hAnsi="Segoe UI" w:eastAsia="Segoe UI" w:cs="Segoe UI"/>
                <w:b w:val="0"/>
                <w:bCs w:val="0"/>
                <w:color w:val="000000"/>
                <w:sz w:val="18"/>
                <w:szCs w:val="18"/>
                <w:lang w:val="en-GB"/>
              </w:rPr>
              <w:t>They made machines easier to buy and easier to sell, and built behind the rules.</w:t>
            </w:r>
          </w:p>
        </w:tc>
        <w:tc>
          <w:tcPr>
            <w:tcW w:w="1226" w:type="dxa"/>
            <w:tcBorders>
              <w:top w:val="single" w:color="BFC8D6" w:sz="4"/>
              <w:left w:val="single" w:color="BFC8D6" w:sz="4"/>
              <w:bottom w:val="single" w:color="BFC8D6" w:sz="4"/>
              <w:right w:val="single" w:color="BFC8D6" w:sz="4"/>
            </w:tcBorders>
            <w:tcMar>
              <w:top w:w="60" w:type="dxa"/>
              <w:left w:w="90" w:type="dxa"/>
              <w:bottom w:w="60" w:type="dxa"/>
              <w:right w:w="90" w:type="dxa"/>
            </w:tcMar>
          </w:tcPr>
          <w:p w14:paraId="1D4373DF" wp14:textId="77777777">
            <w:r>
              <w:rPr>
                <w:rFonts w:ascii="Segoe UI" w:hAnsi="Segoe UI" w:eastAsia="Segoe UI" w:cs="Segoe UI"/>
                <w:b w:val="false"/>
                <w:bCs w:val="false"/>
                <w:color w:val="000000"/>
                <w:sz w:val="18"/>
                <w:szCs w:val="18"/>
              </w:rPr>
              <w:t xml:space="preserve">3, 4, 5</w:t>
            </w:r>
          </w:p>
        </w:tc>
      </w:tr>
      <w:tr xmlns:wp14="http://schemas.microsoft.com/office/word/2010/wordml" w:rsidTr="1A1F4882" w14:paraId="35BA743A" wp14:textId="77777777">
        <w:trPr>
          <w:tblHeader w:val="false"/>
        </w:trPr>
        <w:tc>
          <w:tcPr>
            <w:tcW w:w="1500" w:type="dxa"/>
            <w:tcBorders>
              <w:top w:val="single" w:color="BFC8D6" w:sz="4"/>
              <w:left w:val="single" w:color="BFC8D6" w:sz="4"/>
              <w:bottom w:val="single" w:color="BFC8D6" w:sz="4"/>
              <w:right w:val="single" w:color="BFC8D6" w:sz="4"/>
            </w:tcBorders>
            <w:tcMar>
              <w:top w:w="60" w:type="dxa"/>
              <w:left w:w="90" w:type="dxa"/>
              <w:bottom w:w="60" w:type="dxa"/>
              <w:right w:w="90" w:type="dxa"/>
            </w:tcMar>
          </w:tcPr>
          <w:p w14:paraId="5A11D007" wp14:textId="77777777">
            <w:r>
              <w:rPr>
                <w:rFonts w:ascii="Segoe UI" w:hAnsi="Segoe UI" w:eastAsia="Segoe UI" w:cs="Segoe UI"/>
                <w:b w:val="false"/>
                <w:bCs w:val="false"/>
                <w:color w:val="000000"/>
                <w:sz w:val="18"/>
                <w:szCs w:val="18"/>
              </w:rPr>
              <w:t xml:space="preserve">III. Where it stops, and where it is moving</w:t>
            </w:r>
          </w:p>
        </w:tc>
        <w:tc>
          <w:tcPr>
            <w:tcW w:w="2600" w:type="dxa"/>
            <w:tcBorders>
              <w:top w:val="single" w:color="BFC8D6" w:sz="4"/>
              <w:left w:val="single" w:color="BFC8D6" w:sz="4"/>
              <w:bottom w:val="single" w:color="BFC8D6" w:sz="4"/>
              <w:right w:val="single" w:color="BFC8D6" w:sz="4"/>
            </w:tcBorders>
            <w:tcMar>
              <w:top w:w="60" w:type="dxa"/>
              <w:left w:w="90" w:type="dxa"/>
              <w:bottom w:w="60" w:type="dxa"/>
              <w:right w:w="90" w:type="dxa"/>
            </w:tcMar>
          </w:tcPr>
          <w:p w14:paraId="0411D008" wp14:textId="77777777">
            <w:r w:rsidRPr="1A1F4882" w:rsidR="1A1F4882">
              <w:rPr>
                <w:rFonts w:ascii="Segoe UI" w:hAnsi="Segoe UI" w:eastAsia="Segoe UI" w:cs="Segoe UI"/>
                <w:b w:val="0"/>
                <w:bCs w:val="0"/>
                <w:color w:val="000000"/>
                <w:sz w:val="18"/>
                <w:szCs w:val="18"/>
                <w:lang w:val="en-GB"/>
              </w:rPr>
              <w:t>Where do established makers still win, and how long will that hold?</w:t>
            </w:r>
          </w:p>
        </w:tc>
        <w:tc>
          <w:tcPr>
            <w:tcW w:w="3700" w:type="dxa"/>
            <w:tcBorders>
              <w:top w:val="single" w:color="BFC8D6" w:sz="4"/>
              <w:left w:val="single" w:color="BFC8D6" w:sz="4"/>
              <w:bottom w:val="single" w:color="BFC8D6" w:sz="4"/>
              <w:right w:val="single" w:color="BFC8D6" w:sz="4"/>
            </w:tcBorders>
            <w:tcMar>
              <w:top w:w="60" w:type="dxa"/>
              <w:left w:w="90" w:type="dxa"/>
              <w:bottom w:w="60" w:type="dxa"/>
              <w:right w:w="90" w:type="dxa"/>
            </w:tcMar>
          </w:tcPr>
          <w:p w14:paraId="4243CAD6" wp14:textId="77777777">
            <w:r>
              <w:rPr>
                <w:rFonts w:ascii="Segoe UI" w:hAnsi="Segoe UI" w:eastAsia="Segoe UI" w:cs="Segoe UI"/>
                <w:b w:val="false"/>
                <w:bCs w:val="false"/>
                <w:color w:val="000000"/>
                <w:sz w:val="18"/>
                <w:szCs w:val="18"/>
              </w:rPr>
              <w:t xml:space="preserve">Uptime and specifiers hold the costly end. The line moves where Chinese makers own the route or bring a new kind of machine.</w:t>
            </w:r>
          </w:p>
        </w:tc>
        <w:tc>
          <w:tcPr>
            <w:tcW w:w="1226" w:type="dxa"/>
            <w:tcBorders>
              <w:top w:val="single" w:color="BFC8D6" w:sz="4"/>
              <w:left w:val="single" w:color="BFC8D6" w:sz="4"/>
              <w:bottom w:val="single" w:color="BFC8D6" w:sz="4"/>
              <w:right w:val="single" w:color="BFC8D6" w:sz="4"/>
            </w:tcBorders>
            <w:tcMar>
              <w:top w:w="60" w:type="dxa"/>
              <w:left w:w="90" w:type="dxa"/>
              <w:bottom w:w="60" w:type="dxa"/>
              <w:right w:w="90" w:type="dxa"/>
            </w:tcMar>
          </w:tcPr>
          <w:p w14:paraId="28B3C31A" wp14:textId="77777777">
            <w:r>
              <w:rPr>
                <w:rFonts w:ascii="Segoe UI" w:hAnsi="Segoe UI" w:eastAsia="Segoe UI" w:cs="Segoe UI"/>
                <w:b w:val="false"/>
                <w:bCs w:val="false"/>
                <w:color w:val="000000"/>
                <w:sz w:val="18"/>
                <w:szCs w:val="18"/>
              </w:rPr>
              <w:t xml:space="preserve">6, 7</w:t>
            </w:r>
          </w:p>
        </w:tc>
      </w:tr>
      <w:tr xmlns:wp14="http://schemas.microsoft.com/office/word/2010/wordml" w:rsidTr="1A1F4882" w14:paraId="021F05F1" wp14:textId="77777777">
        <w:trPr>
          <w:tblHeader w:val="false"/>
        </w:trPr>
        <w:tc>
          <w:tcPr>
            <w:tcW w:w="1500" w:type="dxa"/>
            <w:tcBorders>
              <w:top w:val="single" w:color="BFC8D6" w:sz="4"/>
              <w:left w:val="single" w:color="BFC8D6" w:sz="4"/>
              <w:bottom w:val="single" w:color="BFC8D6" w:sz="4"/>
              <w:right w:val="single" w:color="BFC8D6" w:sz="4"/>
            </w:tcBorders>
            <w:tcMar>
              <w:top w:w="60" w:type="dxa"/>
              <w:left w:w="90" w:type="dxa"/>
              <w:bottom w:w="60" w:type="dxa"/>
              <w:right w:w="90" w:type="dxa"/>
            </w:tcMar>
          </w:tcPr>
          <w:p w14:paraId="61791CA3" wp14:textId="77777777">
            <w:r w:rsidRPr="1A1F4882" w:rsidR="1A1F4882">
              <w:rPr>
                <w:rFonts w:ascii="Segoe UI" w:hAnsi="Segoe UI" w:eastAsia="Segoe UI" w:cs="Segoe UI"/>
                <w:b w:val="0"/>
                <w:bCs w:val="0"/>
                <w:color w:val="000000"/>
                <w:sz w:val="18"/>
                <w:szCs w:val="18"/>
                <w:lang w:val="en-GB"/>
              </w:rPr>
              <w:t>IV. What established makers should do</w:t>
            </w:r>
          </w:p>
        </w:tc>
        <w:tc>
          <w:tcPr>
            <w:tcW w:w="2600" w:type="dxa"/>
            <w:tcBorders>
              <w:top w:val="single" w:color="BFC8D6" w:sz="4"/>
              <w:left w:val="single" w:color="BFC8D6" w:sz="4"/>
              <w:bottom w:val="single" w:color="BFC8D6" w:sz="4"/>
              <w:right w:val="single" w:color="BFC8D6" w:sz="4"/>
            </w:tcBorders>
            <w:tcMar>
              <w:top w:w="60" w:type="dxa"/>
              <w:left w:w="90" w:type="dxa"/>
              <w:bottom w:w="60" w:type="dxa"/>
              <w:right w:w="90" w:type="dxa"/>
            </w:tcMar>
          </w:tcPr>
          <w:p w14:paraId="00B68F1C" wp14:textId="77777777">
            <w:r w:rsidRPr="1A1F4882" w:rsidR="1A1F4882">
              <w:rPr>
                <w:rFonts w:ascii="Segoe UI" w:hAnsi="Segoe UI" w:eastAsia="Segoe UI" w:cs="Segoe UI"/>
                <w:b w:val="0"/>
                <w:bCs w:val="0"/>
                <w:color w:val="000000"/>
                <w:sz w:val="18"/>
                <w:szCs w:val="18"/>
                <w:lang w:val="en-GB"/>
              </w:rPr>
              <w:t>What did established makers miss, and what should they and their dealers do now?</w:t>
            </w:r>
          </w:p>
        </w:tc>
        <w:tc>
          <w:tcPr>
            <w:tcW w:w="3700" w:type="dxa"/>
            <w:tcBorders>
              <w:top w:val="single" w:color="BFC8D6" w:sz="4"/>
              <w:left w:val="single" w:color="BFC8D6" w:sz="4"/>
              <w:bottom w:val="single" w:color="BFC8D6" w:sz="4"/>
              <w:right w:val="single" w:color="BFC8D6" w:sz="4"/>
            </w:tcBorders>
            <w:tcMar>
              <w:top w:w="60" w:type="dxa"/>
              <w:left w:w="90" w:type="dxa"/>
              <w:bottom w:w="60" w:type="dxa"/>
              <w:right w:w="90" w:type="dxa"/>
            </w:tcMar>
          </w:tcPr>
          <w:p w14:paraId="35F64069" wp14:textId="77777777">
            <w:r w:rsidRPr="1A1F4882" w:rsidR="1A1F4882">
              <w:rPr>
                <w:rFonts w:ascii="Segoe UI" w:hAnsi="Segoe UI" w:eastAsia="Segoe UI" w:cs="Segoe UI"/>
                <w:b w:val="0"/>
                <w:bCs w:val="0"/>
                <w:color w:val="000000"/>
                <w:sz w:val="18"/>
                <w:szCs w:val="18"/>
                <w:lang w:val="en-GB"/>
              </w:rPr>
              <w:t>Eight blind spots let Chinese makers in, and most can be closed with assets established makers already own.</w:t>
            </w:r>
          </w:p>
        </w:tc>
        <w:tc>
          <w:tcPr>
            <w:tcW w:w="1226" w:type="dxa"/>
            <w:tcBorders>
              <w:top w:val="single" w:color="BFC8D6" w:sz="4"/>
              <w:left w:val="single" w:color="BFC8D6" w:sz="4"/>
              <w:bottom w:val="single" w:color="BFC8D6" w:sz="4"/>
              <w:right w:val="single" w:color="BFC8D6" w:sz="4"/>
            </w:tcBorders>
            <w:tcMar>
              <w:top w:w="60" w:type="dxa"/>
              <w:left w:w="90" w:type="dxa"/>
              <w:bottom w:w="60" w:type="dxa"/>
              <w:right w:w="90" w:type="dxa"/>
            </w:tcMar>
          </w:tcPr>
          <w:p w14:paraId="3D1DEC8B" wp14:textId="77777777">
            <w:r>
              <w:rPr>
                <w:rFonts w:ascii="Segoe UI" w:hAnsi="Segoe UI" w:eastAsia="Segoe UI" w:cs="Segoe UI"/>
                <w:b w:val="false"/>
                <w:bCs w:val="false"/>
                <w:color w:val="000000"/>
                <w:sz w:val="18"/>
                <w:szCs w:val="18"/>
              </w:rPr>
              <w:t xml:space="preserve">8, 9</w:t>
            </w:r>
          </w:p>
        </w:tc>
      </w:tr>
    </w:tbl>
    <w:p xmlns:wp14="http://schemas.microsoft.com/office/word/2010/wordml" w:rsidP="1A1F4882" w14:paraId="5D404D56" wp14:textId="65C362EC">
      <w:pPr>
        <w:pStyle w:val="Heading3"/>
        <w:spacing w:after="120"/>
        <w:rPr>
          <w:sz w:val="20"/>
          <w:szCs w:val="20"/>
        </w:rPr>
      </w:pPr>
      <w:r w:rsidRPr="1A1F4882" w:rsidR="1A1F4882">
        <w:rPr>
          <w:sz w:val="20"/>
          <w:szCs w:val="20"/>
        </w:rPr>
        <w:t>Chapter by chapter</w:t>
      </w:r>
    </w:p>
    <w:p xmlns:wp14="http://schemas.microsoft.com/office/word/2010/wordml" w:rsidP="1A1F4882" w14:paraId="6CB1A5EF" wp14:textId="77777777">
      <w:pPr>
        <w:pStyle w:val="Normal"/>
        <w:spacing w:after="80" w:line="290" w:lineRule="auto"/>
        <w:ind w:left="0"/>
      </w:pPr>
      <w:r w:rsidRPr="1A1F4882" w:rsidR="1A1F4882">
        <w:rPr>
          <w:rFonts w:ascii="Segoe UI" w:hAnsi="Segoe UI" w:eastAsia="Segoe UI" w:cs="Segoe UI"/>
          <w:b w:val="1"/>
          <w:bCs w:val="1"/>
          <w:sz w:val="21"/>
          <w:szCs w:val="21"/>
          <w:lang w:val="en-US"/>
        </w:rPr>
        <w:t>1.</w:t>
      </w:r>
      <w:r w:rsidRPr="1A1F4882" w:rsidR="1A1F4882">
        <w:rPr>
          <w:rFonts w:ascii="Segoe UI" w:hAnsi="Segoe UI" w:eastAsia="Segoe UI" w:cs="Segoe UI"/>
          <w:sz w:val="21"/>
          <w:szCs w:val="21"/>
          <w:lang w:val="en-US"/>
        </w:rPr>
        <w:t xml:space="preserve"> The size and cause of the shift, who lost (mostly Japanese brands), and why a mining boom, US tariffs, price or exchange rates do not explain it.</w:t>
      </w:r>
    </w:p>
    <w:p xmlns:wp14="http://schemas.microsoft.com/office/word/2010/wordml" w:rsidP="1A1F4882" w14:paraId="23A082E2" wp14:textId="77777777">
      <w:pPr>
        <w:pStyle w:val="Normal"/>
        <w:spacing w:after="80" w:line="290" w:lineRule="auto"/>
        <w:ind w:left="0"/>
      </w:pPr>
      <w:r w:rsidRPr="1A1F4882" w:rsidR="1A1F4882">
        <w:rPr>
          <w:rFonts w:ascii="Segoe UI" w:hAnsi="Segoe UI" w:eastAsia="Segoe UI" w:cs="Segoe UI"/>
          <w:b w:val="1"/>
          <w:bCs w:val="1"/>
          <w:sz w:val="21"/>
          <w:szCs w:val="21"/>
          <w:lang w:val="en-US"/>
        </w:rPr>
        <w:t>2.</w:t>
      </w:r>
      <w:r w:rsidRPr="1A1F4882" w:rsidR="1A1F4882">
        <w:rPr>
          <w:rFonts w:ascii="Segoe UI" w:hAnsi="Segoe UI" w:eastAsia="Segoe UI" w:cs="Segoe UI"/>
          <w:sz w:val="21"/>
          <w:szCs w:val="21"/>
          <w:lang w:val="en-US"/>
        </w:rPr>
        <w:t xml:space="preserve"> The worked example: first buyers from home, a partner lender, a segment Komatsu served thinly and stock when coal margins collapsed, then branches, parts, a plant and its own lender.</w:t>
      </w:r>
    </w:p>
    <w:p xmlns:wp14="http://schemas.microsoft.com/office/word/2010/wordml" w:rsidP="1A1F4882" w14:paraId="4C2F61B1" wp14:textId="77777777">
      <w:pPr>
        <w:pStyle w:val="Normal"/>
        <w:spacing w:after="80" w:line="290" w:lineRule="auto"/>
        <w:ind w:left="0"/>
      </w:pPr>
      <w:r w:rsidRPr="1A1F4882" w:rsidR="1A1F4882">
        <w:rPr>
          <w:rFonts w:ascii="Segoe UI" w:hAnsi="Segoe UI" w:eastAsia="Segoe UI" w:cs="Segoe UI"/>
          <w:b w:val="1"/>
          <w:bCs w:val="1"/>
          <w:sz w:val="21"/>
          <w:szCs w:val="21"/>
        </w:rPr>
        <w:t>3.</w:t>
      </w:r>
      <w:r w:rsidRPr="1A1F4882" w:rsidR="1A1F4882">
        <w:rPr>
          <w:rFonts w:ascii="Segoe UI" w:hAnsi="Segoe UI" w:eastAsia="Segoe UI" w:cs="Segoe UI"/>
          <w:sz w:val="21"/>
          <w:szCs w:val="21"/>
        </w:rPr>
        <w:t xml:space="preserve"> New buyers from home and neglected sizes; stock when the leader rations; credit as the barrier. It stops where there is no gap, and at the factory gate.</w:t>
      </w:r>
    </w:p>
    <w:p xmlns:wp14="http://schemas.microsoft.com/office/word/2010/wordml" w:rsidP="1A1F4882" w14:paraId="6793FB2F" wp14:textId="77777777">
      <w:pPr>
        <w:pStyle w:val="Normal"/>
        <w:spacing w:after="80" w:line="290" w:lineRule="auto"/>
        <w:ind w:left="0"/>
      </w:pPr>
      <w:r w:rsidRPr="1A1F4882" w:rsidR="1A1F4882">
        <w:rPr>
          <w:rFonts w:ascii="Segoe UI" w:hAnsi="Segoe UI" w:eastAsia="Segoe UI" w:cs="Segoe UI"/>
          <w:b w:val="1"/>
          <w:bCs w:val="1"/>
          <w:sz w:val="21"/>
          <w:szCs w:val="21"/>
        </w:rPr>
        <w:t>4.</w:t>
      </w:r>
      <w:r w:rsidRPr="1A1F4882" w:rsidR="1A1F4882">
        <w:rPr>
          <w:rFonts w:ascii="Segoe UI" w:hAnsi="Segoe UI" w:eastAsia="Segoe UI" w:cs="Segoe UI"/>
          <w:sz w:val="21"/>
          <w:szCs w:val="21"/>
        </w:rPr>
        <w:t xml:space="preserve"> Established makers’ dealers changing sides; five routes to the buyer; what dealers and partners get; where it stops.</w:t>
      </w:r>
    </w:p>
    <w:p xmlns:wp14="http://schemas.microsoft.com/office/word/2010/wordml" w:rsidP="1A1F4882" w14:paraId="09E8FC2A" wp14:textId="77777777">
      <w:pPr>
        <w:pStyle w:val="Normal"/>
        <w:spacing w:after="80" w:line="290" w:lineRule="auto"/>
        <w:ind w:left="0"/>
      </w:pPr>
      <w:r w:rsidRPr="1A1F4882" w:rsidR="1A1F4882">
        <w:rPr>
          <w:rFonts w:ascii="Segoe UI" w:hAnsi="Segoe UI" w:eastAsia="Segoe UI" w:cs="Segoe UI"/>
          <w:b w:val="1"/>
          <w:bCs w:val="1"/>
          <w:sz w:val="21"/>
          <w:szCs w:val="21"/>
          <w:lang w:val="en-US"/>
        </w:rPr>
        <w:t>5.</w:t>
      </w:r>
      <w:r w:rsidRPr="1A1F4882" w:rsidR="1A1F4882">
        <w:rPr>
          <w:rFonts w:ascii="Segoe UI" w:hAnsi="Segoe UI" w:eastAsia="Segoe UI" w:cs="Segoe UI"/>
          <w:sz w:val="21"/>
          <w:szCs w:val="21"/>
          <w:lang w:val="en-US"/>
        </w:rPr>
        <w:t xml:space="preserve"> Plants first in India; duties cut imports but makers build locally; Indonesia’s local-content rules for public buyers.</w:t>
      </w:r>
    </w:p>
    <w:p xmlns:wp14="http://schemas.microsoft.com/office/word/2010/wordml" w:rsidP="1A1F4882" w14:paraId="48980AAC" wp14:textId="77777777">
      <w:pPr>
        <w:pStyle w:val="Normal"/>
        <w:spacing w:after="80" w:line="290" w:lineRule="auto"/>
        <w:ind w:left="0"/>
      </w:pPr>
      <w:r w:rsidRPr="1A1F4882" w:rsidR="1A1F4882">
        <w:rPr>
          <w:rFonts w:ascii="Segoe UI" w:hAnsi="Segoe UI" w:eastAsia="Segoe UI" w:cs="Segoe UI"/>
          <w:b w:val="1"/>
          <w:bCs w:val="1"/>
          <w:sz w:val="21"/>
          <w:szCs w:val="21"/>
          <w:lang w:val="en-US"/>
        </w:rPr>
        <w:t>6.</w:t>
      </w:r>
      <w:r w:rsidRPr="1A1F4882" w:rsidR="1A1F4882">
        <w:rPr>
          <w:rFonts w:ascii="Segoe UI" w:hAnsi="Segoe UI" w:eastAsia="Segoe UI" w:cs="Segoe UI"/>
          <w:sz w:val="21"/>
          <w:szCs w:val="21"/>
          <w:lang w:val="en-US"/>
        </w:rPr>
        <w:t xml:space="preserve"> Where established makers still hold: China ships most of the weight but less of the value; mining; parts, service and resale; buyers whose brand is chosen by someone else. Exceptions: cranes and data-centre generators.</w:t>
      </w:r>
    </w:p>
    <w:p xmlns:wp14="http://schemas.microsoft.com/office/word/2010/wordml" w:rsidP="1A1F4882" w14:paraId="2B5A22E7" wp14:textId="77777777">
      <w:pPr>
        <w:pStyle w:val="Normal"/>
        <w:spacing w:after="80" w:line="290" w:lineRule="auto"/>
        <w:ind w:left="0"/>
      </w:pPr>
      <w:r w:rsidRPr="1A1F4882" w:rsidR="1A1F4882">
        <w:rPr>
          <w:rFonts w:ascii="Segoe UI" w:hAnsi="Segoe UI" w:eastAsia="Segoe UI" w:cs="Segoe UI"/>
          <w:b w:val="1"/>
          <w:bCs w:val="1"/>
          <w:sz w:val="21"/>
          <w:szCs w:val="21"/>
          <w:lang w:val="en-US"/>
        </w:rPr>
        <w:t>7.</w:t>
      </w:r>
      <w:r w:rsidRPr="1A1F4882" w:rsidR="1A1F4882">
        <w:rPr>
          <w:rFonts w:ascii="Segoe UI" w:hAnsi="Segoe UI" w:eastAsia="Segoe UI" w:cs="Segoe UI"/>
          <w:sz w:val="21"/>
          <w:szCs w:val="21"/>
          <w:lang w:val="en-US"/>
        </w:rPr>
        <w:t xml:space="preserve"> Share sold through other firms stays at the cheap end. Makers that own the route, or bring a new kind of machine such as electric forklifts or wide-body mining trucks, move up.</w:t>
      </w:r>
    </w:p>
    <w:p xmlns:wp14="http://schemas.microsoft.com/office/word/2010/wordml" w:rsidP="1A1F4882" w14:paraId="53A3BA89" wp14:textId="77777777">
      <w:pPr>
        <w:pStyle w:val="Normal"/>
        <w:spacing w:after="80" w:line="290" w:lineRule="auto"/>
        <w:ind w:left="0"/>
      </w:pPr>
      <w:r w:rsidRPr="1A1F4882" w:rsidR="1A1F4882">
        <w:rPr>
          <w:rFonts w:ascii="Segoe UI" w:hAnsi="Segoe UI" w:eastAsia="Segoe UI" w:cs="Segoe UI"/>
          <w:b w:val="1"/>
          <w:bCs w:val="1"/>
          <w:sz w:val="21"/>
          <w:szCs w:val="21"/>
        </w:rPr>
        <w:t>8.</w:t>
      </w:r>
      <w:r w:rsidRPr="1A1F4882" w:rsidR="1A1F4882">
        <w:rPr>
          <w:rFonts w:ascii="Segoe UI" w:hAnsi="Segoe UI" w:eastAsia="Segoe UI" w:cs="Segoe UI"/>
          <w:sz w:val="21"/>
          <w:szCs w:val="21"/>
        </w:rPr>
        <w:t xml:space="preserve"> Eight blind spots that let Chinese makers in, each with its evidence, who used it and the fix.</w:t>
      </w:r>
    </w:p>
    <w:p xmlns:wp14="http://schemas.microsoft.com/office/word/2010/wordml" w:rsidP="1A1F4882" w14:paraId="1F103D8A" wp14:textId="61D746F3">
      <w:pPr>
        <w:pStyle w:val="Normal"/>
        <w:spacing w:after="80" w:line="290" w:lineRule="auto"/>
        <w:ind w:left="0"/>
      </w:pPr>
      <w:r w:rsidRPr="1A1F4882" w:rsidR="1A1F4882">
        <w:rPr>
          <w:rFonts w:ascii="Segoe UI" w:hAnsi="Segoe UI" w:eastAsia="Segoe UI" w:cs="Segoe UI"/>
          <w:b w:val="1"/>
          <w:bCs w:val="1"/>
          <w:sz w:val="21"/>
          <w:szCs w:val="21"/>
        </w:rPr>
        <w:t>9.</w:t>
      </w:r>
      <w:r w:rsidRPr="1A1F4882" w:rsidR="1A1F4882">
        <w:rPr>
          <w:rFonts w:ascii="Segoe UI" w:hAnsi="Segoe UI" w:eastAsia="Segoe UI" w:cs="Segoe UI"/>
          <w:sz w:val="21"/>
          <w:szCs w:val="21"/>
        </w:rPr>
        <w:t xml:space="preserve"> Three questions for each product line; moves for established makers and for their dealers.</w:t>
      </w:r>
    </w:p>
    <w:p xmlns:wp14="http://schemas.microsoft.com/office/word/2010/wordml" w14:paraId="02EB378F" wp14:textId="77777777">
      <w:r>
        <w:br w:type="page"/>
      </w:r>
    </w:p>
    <w:p xmlns:wp14="http://schemas.microsoft.com/office/word/2010/wordml" w14:paraId="28174103" wp14:textId="77777777">
      <w:pPr>
        <w:pStyle w:val="Heading1"/>
      </w:pPr>
      <w:r>
        <w:t xml:space="preserve">Part I. What happened</w:t>
      </w:r>
    </w:p>
    <w:p xmlns:wp14="http://schemas.microsoft.com/office/word/2010/wordml" w:rsidP="1A1F4882" w14:paraId="5B7B20F8" wp14:textId="77777777">
      <w:pPr>
        <w:pBdr>
          <w:left w:val="single" w:color="1F6FD1" w:sz="18" w:space="8"/>
        </w:pBdr>
        <w:spacing w:after="240" w:line="300" w:lineRule="auto"/>
      </w:pPr>
      <w:r w:rsidRPr="1A1F4882" w:rsidR="1A1F4882">
        <w:rPr>
          <w:rFonts w:ascii="Segoe UI" w:hAnsi="Segoe UI" w:eastAsia="Segoe UI" w:cs="Segoe UI"/>
          <w:i w:val="1"/>
          <w:iCs w:val="1"/>
          <w:color w:val="0D1E43"/>
          <w:sz w:val="21"/>
          <w:szCs w:val="21"/>
          <w:lang w:val="en-US"/>
        </w:rPr>
        <w:t>In under a decade, Chinese makers became the largest suppliers of industrial equipment in India and Southeast Asia, mostly at the expense of Japanese makers. Chapter 1 sets out how large the shift was, what started it and who lost. Chapter 2 follows SANY in Indonesia to show how the moves built on each other.</w:t>
      </w:r>
    </w:p>
    <w:p xmlns:wp14="http://schemas.microsoft.com/office/word/2010/wordml" w14:paraId="35AFBAA5" wp14:textId="77777777">
      <w:pPr>
        <w:pStyle w:val="Heading2"/>
      </w:pPr>
      <w:r>
        <w:t xml:space="preserve">1. China's makers went abroad when home sales collapsed, and took share from Japan first</w:t>
      </w:r>
    </w:p>
    <w:p xmlns:wp14="http://schemas.microsoft.com/office/word/2010/wordml" w14:paraId="25AB57CD" wp14:textId="77777777">
      <w:pPr>
        <w:spacing w:after="140" w:line="300" w:lineRule="auto"/>
      </w:pPr>
      <w:r w:rsidRPr="1A1F4882" w:rsidR="1A1F4882">
        <w:rPr>
          <w:rFonts w:ascii="Segoe UI" w:hAnsi="Segoe UI" w:eastAsia="Segoe UI" w:cs="Segoe UI"/>
          <w:sz w:val="21"/>
          <w:szCs w:val="21"/>
          <w:lang w:val="en-US"/>
        </w:rPr>
        <w:t>Indonesia mined a record 836 million tonnes of coal in 2024 and 817 million in 2025. Its heavy-equipment market grew from about 18,200 units in 2023 to about 22,600 in 2025. Over the same two years Komatsu, the long-time market leader, sold about 750 fewer machines, and its share fell from 29% to 20%. Most of what it lost went to Chinese brands.</w:t>
      </w:r>
    </w:p>
    <w:p xmlns:wp14="http://schemas.microsoft.com/office/word/2010/wordml" w14:paraId="51B3B191" wp14:textId="77777777">
      <w:pPr>
        <w:pStyle w:val="Heading3"/>
      </w:pPr>
      <w:r>
        <w:t xml:space="preserve">The shift reached most products and countries</w:t>
      </w:r>
    </w:p>
    <w:p xmlns:wp14="http://schemas.microsoft.com/office/word/2010/wordml" w14:paraId="7C4CB6BA" wp14:textId="77777777">
      <w:pPr>
        <w:spacing w:after="140" w:line="300" w:lineRule="auto"/>
      </w:pPr>
      <w:r w:rsidRPr="1A1F4882" w:rsidR="1A1F4882">
        <w:rPr>
          <w:rFonts w:ascii="Segoe UI" w:hAnsi="Segoe UI" w:eastAsia="Segoe UI" w:cs="Segoe UI"/>
          <w:sz w:val="21"/>
          <w:szCs w:val="21"/>
          <w:lang w:val="en-US"/>
        </w:rPr>
        <w:t>Indonesia is not an isolated case. We tracked imports of seven kinds of equipment into India, Indonesia, Thailand and Malaysia. Between 2019 and 2024 China's share rose in 26 of these 28 product markets, and by 2024 it was half or more in 14. China supplied 74% of Indonesia's excavator imports in 2024, up from 33%, and 93% of India's imports of self-propelled cranes, up from 35%. Its share of electric-forklift imports was between 60% and 69% in all four countries.</w:t>
      </w:r>
    </w:p>
    <w:p xmlns:wp14="http://schemas.microsoft.com/office/word/2010/wordml" w14:paraId="471DFBAE" wp14:textId="77777777">
      <w:pPr>
        <w:pStyle w:val="Heading3"/>
      </w:pPr>
      <w:r>
        <w:t xml:space="preserve">Japanese brands lost the most</w:t>
      </w:r>
    </w:p>
    <w:p xmlns:wp14="http://schemas.microsoft.com/office/word/2010/wordml" w14:paraId="25693505" wp14:textId="77777777">
      <w:pPr>
        <w:spacing w:after="140" w:line="300" w:lineRule="auto"/>
      </w:pPr>
      <w:r w:rsidRPr="1A1F4882" w:rsidR="1A1F4882">
        <w:rPr>
          <w:rFonts w:ascii="Segoe UI" w:hAnsi="Segoe UI" w:eastAsia="Segoe UI" w:cs="Segoe UI"/>
          <w:sz w:val="21"/>
          <w:szCs w:val="21"/>
          <w:lang w:val="en-US"/>
        </w:rPr>
        <w:t>Most of China's gain came out of Japan's share. Across India, Indonesia, Thailand, Vietnam and Malaysia, Japan's share of imports fell between 2019 and 2024 in excavators, forklifts, moulding machines, machine tools, compressors, pumps and robots. The falls were steepest where Japan had been strongest. Its share fell from 46% to 26% in CNC lathes and from 31% to 19% in moulding machines, and in Thailand from 38% to 17% in forklifts. In Indonesia, Japan's share of excavator imports dropped from 24% to 7%. Hitachi's share of Indonesian sales of excavators above six tonnes fell from 21% in 2023 to 17% in 2025, alongside Komatsu's fall.</w:t>
      </w:r>
    </w:p>
    <w:p xmlns:wp14="http://schemas.microsoft.com/office/word/2010/wordml" w14:paraId="3DC4502E" wp14:textId="77777777">
      <w:pPr>
        <w:spacing w:after="140" w:line="300" w:lineRule="auto"/>
      </w:pPr>
      <w:r w:rsidRPr="1A1F4882" w:rsidR="1A1F4882">
        <w:rPr>
          <w:rFonts w:ascii="Segoe UI" w:hAnsi="Segoe UI" w:eastAsia="Segoe UI" w:cs="Segoe UI"/>
          <w:sz w:val="21"/>
          <w:szCs w:val="21"/>
          <w:lang w:val="en-US"/>
        </w:rPr>
        <w:t>Others lost too. Korean and German makers held 9% and 7% of the region's imports of large generator sets in 2019, and 2% each by 2024. Taiwan and Korea lost ground in moulding machines, and Germany in laser machines. In India, the domestic crane maker lost most of its market (Chapter 3).</w:t>
      </w:r>
    </w:p>
    <w:p xmlns:wp14="http://schemas.microsoft.com/office/word/2010/wordml" w14:paraId="2B60183D" wp14:textId="77777777">
      <w:pPr>
        <w:pStyle w:val="Heading3"/>
      </w:pPr>
      <w:r>
        <w:t xml:space="preserve">It began with a collapse at home</w:t>
      </w:r>
    </w:p>
    <w:p xmlns:wp14="http://schemas.microsoft.com/office/word/2010/wordml" w14:paraId="06421C0F" wp14:textId="77777777">
      <w:pPr>
        <w:spacing w:after="140" w:line="300" w:lineRule="auto"/>
      </w:pPr>
      <w:r w:rsidRPr="1A1F4882" w:rsidR="1A1F4882">
        <w:rPr>
          <w:rFonts w:ascii="Segoe UI" w:hAnsi="Segoe UI" w:eastAsia="Segoe UI" w:cs="Segoe UI"/>
          <w:sz w:val="21"/>
          <w:szCs w:val="21"/>
          <w:lang w:val="en-US"/>
        </w:rPr>
        <w:t>Chinese makers built their factories for a boom at home. Excavator sales in China peaked at 292,864 in 2020, and exports had been only 7 to 11% of units sold in the years up to then. Home sales then fell 69% in three years, to 89,980 in 2023. With plants to fill, the makers turned abroad, and in 2023 they exported more excavators (105,038) than they sold at home.</w:t>
      </w:r>
    </w:p>
    <w:p xmlns:wp14="http://schemas.microsoft.com/office/word/2010/wordml" w14:paraId="5116595E" wp14:textId="77777777">
      <w:pPr>
        <w:spacing w:after="140" w:line="300" w:lineRule="auto"/>
      </w:pPr>
      <w:r w:rsidRPr="1A1F4882" w:rsidR="1A1F4882">
        <w:rPr>
          <w:rFonts w:ascii="Segoe UI" w:hAnsi="Segoe UI" w:eastAsia="Segoe UI" w:cs="Segoe UI"/>
          <w:sz w:val="21"/>
          <w:szCs w:val="21"/>
          <w:lang w:val="en-US"/>
        </w:rPr>
        <w:t>SANY shows the turn in one company. Its overseas revenue went from 23% of the total in 2021 to 45.7% in 2022, and to nearly two-thirds by 2025. Falling sales at home explain part of that rise, but overseas revenue also grew 47% in 2022 alone.</w:t>
      </w:r>
    </w:p>
    <w:p xmlns:wp14="http://schemas.microsoft.com/office/word/2010/wordml" w14:paraId="5BCB8ACF" wp14:textId="77777777">
      <w:pPr>
        <w:pStyle w:val="Heading3"/>
      </w:pPr>
      <w:r>
        <w:t xml:space="preserve">They stayed because selling abroad paid better</w:t>
      </w:r>
    </w:p>
    <w:p xmlns:wp14="http://schemas.microsoft.com/office/word/2010/wordml" w14:paraId="4A35BC32" wp14:textId="77777777">
      <w:pPr>
        <w:spacing w:after="140" w:line="300"/>
      </w:pPr>
      <w:r>
        <w:rPr>
          <w:rFonts w:ascii="Segoe UI" w:hAnsi="Segoe UI" w:eastAsia="Segoe UI" w:cs="Segoe UI"/>
          <w:sz w:val="21"/>
          <w:szCs w:val="21"/>
        </w:rPr>
        <w:t xml:space="preserve">Had exporting been only a way to clear surplus machines, it would have faded once China recovered. It did not. In 2025 home sales rose 17.9% and exports rose 16.1%, to 116,739 units. Exports grew another 33.5% in the first half of 2026, with a record month in June.</w:t>
      </w:r>
    </w:p>
    <w:p xmlns:wp14="http://schemas.microsoft.com/office/word/2010/wordml" w14:paraId="24C3A0C8" wp14:textId="77777777">
      <w:pPr>
        <w:spacing w:after="140" w:line="300" w:lineRule="auto"/>
      </w:pPr>
      <w:r w:rsidRPr="1A1F4882" w:rsidR="1A1F4882">
        <w:rPr>
          <w:rFonts w:ascii="Segoe UI" w:hAnsi="Segoe UI" w:eastAsia="Segoe UI" w:cs="Segoe UI"/>
          <w:sz w:val="21"/>
          <w:szCs w:val="21"/>
          <w:lang w:val="en-US"/>
        </w:rPr>
        <w:t>The margins explain why. In 2022 SANY earned a gross margin of 26.4% abroad against 21.9% at home. By 2024 the gap had widened to 29.7% abroad against about 21% at home. XCMG earned 22.3% abroad and 19.3% at home in 2022, and now aims to make about 60% of its sales overseas by 2030. Robot makers are following the same path. A price war in China halved the price of some small robots, and in 2025 China exported more industrial robots than it imported for the first time.</w:t>
      </w:r>
    </w:p>
    <w:p xmlns:wp14="http://schemas.microsoft.com/office/word/2010/wordml" w14:paraId="2A688F95" wp14:textId="77777777">
      <w:pPr>
        <w:pStyle w:val="Heading3"/>
      </w:pPr>
      <w:r>
        <w:t xml:space="preserve">Other explanations do not fit the evidence</w:t>
      </w:r>
    </w:p>
    <w:p xmlns:wp14="http://schemas.microsoft.com/office/word/2010/wordml" w14:paraId="5A3E0A41" wp14:textId="77777777">
      <w:pPr>
        <w:spacing w:after="140" w:line="300" w:lineRule="auto"/>
      </w:pPr>
      <w:r w:rsidRPr="1A1F4882" w:rsidR="1A1F4882">
        <w:rPr>
          <w:rFonts w:ascii="Segoe UI" w:hAnsi="Segoe UI" w:eastAsia="Segoe UI" w:cs="Segoe UI"/>
          <w:sz w:val="21"/>
          <w:szCs w:val="21"/>
          <w:lang w:val="en-US"/>
        </w:rPr>
        <w:t>A mining boom would lift every seller, yet Komatsu sold fewer machines in a growing market. Thailand had no coal or nickel boom, and China's share of its imports still rose in all seven products, from 36% to 69% in electric forklifts and from 24% to 53% in moulding machines.</w:t>
      </w:r>
    </w:p>
    <w:p xmlns:wp14="http://schemas.microsoft.com/office/word/2010/wordml" w14:paraId="37986FE1" wp14:textId="77777777">
      <w:pPr>
        <w:spacing w:after="140" w:line="300"/>
      </w:pPr>
      <w:r>
        <w:rPr>
          <w:rFonts w:ascii="Segoe UI" w:hAnsi="Segoe UI" w:eastAsia="Segoe UI" w:cs="Segoe UI"/>
          <w:sz w:val="21"/>
          <w:szCs w:val="21"/>
        </w:rPr>
        <w:t xml:space="preserve">US tariffs did not push Chinese machines into Asia either. The United States took 7.7% of China's construction-machinery exports in 2024, down from 11.6% in 2020, so the growth came from other markets.</w:t>
      </w:r>
    </w:p>
    <w:p xmlns:wp14="http://schemas.microsoft.com/office/word/2010/wordml" w14:paraId="3F0C4BD9" wp14:textId="77777777">
      <w:pPr>
        <w:spacing w:after="140" w:line="300"/>
      </w:pPr>
      <w:r>
        <w:rPr>
          <w:rFonts w:ascii="Segoe UI" w:hAnsi="Segoe UI" w:eastAsia="Segoe UI" w:cs="Segoe UI"/>
          <w:sz w:val="21"/>
          <w:szCs w:val="21"/>
        </w:rPr>
        <w:t xml:space="preserve">The price gap was small. India's trade regulator found Chinese cranes only 0 to 10% cheaper than Indian ones. On Indonesia's public procurement catalogue, a 20-tonne SANY excavator is listed about 7% below Komatsu's equivalent. Exchange rates do little to explain the shift either, because Komatsu builds that excavator in Indonesia (Chapter 5).</w:t>
      </w:r>
    </w:p>
    <w:p xmlns:wp14="http://schemas.microsoft.com/office/word/2010/wordml" w14:paraId="3E77DFF4" wp14:textId="77777777">
      <w:pPr>
        <w:spacing w:after="140" w:line="300" w:lineRule="auto"/>
      </w:pPr>
      <w:r w:rsidRPr="1A1F4882" w:rsidR="1A1F4882">
        <w:rPr>
          <w:rFonts w:ascii="Segoe UI" w:hAnsi="Segoe UI" w:eastAsia="Segoe UI" w:cs="Segoe UI"/>
          <w:sz w:val="21"/>
          <w:szCs w:val="21"/>
          <w:lang w:val="en-US"/>
        </w:rPr>
        <w:t>Quality has caught up enough for everyday work. Indonesia's mainstream lenders now finance Chinese machines. Adira's lending to them doubled in 2024 and Mandiri Tunas Finance's rose 64%, with acceptable quality among the reasons Mandiri gave. Mining and other demanding work are a different matter, which Chapter 6 takes up.</w:t>
      </w:r>
    </w:p>
    <w:p xmlns:wp14="http://schemas.microsoft.com/office/word/2010/wordml" w14:paraId="186F64D9" wp14:textId="77777777">
      <w:pPr>
        <w:spacing w:after="140" w:line="300"/>
      </w:pPr>
      <w:r>
        <w:rPr>
          <w:rFonts w:ascii="Segoe UI" w:hAnsi="Segoe UI" w:eastAsia="Segoe UI" w:cs="Segoe UI"/>
          <w:sz w:val="21"/>
          <w:szCs w:val="21"/>
        </w:rPr>
        <w:t xml:space="preserve">The collapse at home explains why Chinese makers came. It does not explain why buyers and dealers switched to brands they barely knew when the price gap was so small. Chapter 2 follows one company, SANY in Indonesia, to show how that happened.</w:t>
      </w:r>
    </w:p>
    <w:p xmlns:wp14="http://schemas.microsoft.com/office/word/2010/wordml" w14:paraId="3F39FC72" wp14:textId="77777777">
      <w:pPr>
        <w:pStyle w:val="Heading2"/>
      </w:pPr>
      <w:r>
        <w:t xml:space="preserve">2. How SANY won Indonesia</w:t>
      </w:r>
    </w:p>
    <w:p xmlns:wp14="http://schemas.microsoft.com/office/word/2010/wordml" w14:paraId="69C23367" wp14:textId="77777777">
      <w:pPr>
        <w:spacing w:after="140" w:line="300" w:lineRule="auto"/>
      </w:pPr>
      <w:r w:rsidRPr="1A1F4882" w:rsidR="1A1F4882">
        <w:rPr>
          <w:rFonts w:ascii="Segoe UI" w:hAnsi="Segoe UI" w:eastAsia="Segoe UI" w:cs="Segoe UI"/>
          <w:sz w:val="21"/>
          <w:szCs w:val="21"/>
          <w:lang w:val="en-US"/>
        </w:rPr>
        <w:t>SANY entered Indonesia in 2008. By 2025 it had delivered more than 43,000 machines there, and about 26,000 of its excavators were at work. Its distributor sold 10,299 excavators between 2015 and March 2022, and says SANY has been the country's best-selling excavator brand since 2021. Over the same years Komatsu's share of all heavy-equipment sales fell in two waves. It dropped from 29% in 2020 to 21% in 2021, recovered to 28 to 29% in 2022 and 2023, then fell to 26% in 2024, 20% in 2025 and 17% in the first four months of 2026.</w:t>
      </w:r>
    </w:p>
    <w:p xmlns:wp14="http://schemas.microsoft.com/office/word/2010/wordml" w14:paraId="5D022F3C" wp14:textId="77777777">
      <w:pPr>
        <w:spacing w:after="140" w:line="300" w:lineRule="auto"/>
      </w:pPr>
      <w:r w:rsidRPr="1A1F4882" w:rsidR="1A1F4882">
        <w:rPr>
          <w:rFonts w:ascii="Segoe UI" w:hAnsi="Segoe UI" w:eastAsia="Segoe UI" w:cs="Segoe UI"/>
          <w:sz w:val="21"/>
          <w:szCs w:val="21"/>
          <w:lang w:val="en-US"/>
        </w:rPr>
        <w:t>SANY's gains came from four moves, made in order over more than a decade. Each made the next one easier, and price played only a small part.</w:t>
      </w:r>
    </w:p>
    <w:p xmlns:wp14="http://schemas.microsoft.com/office/word/2010/wordml" w14:paraId="0DB0666E" wp14:textId="77777777">
      <w:pPr>
        <w:pStyle w:val="Heading3"/>
      </w:pPr>
      <w:r>
        <w:t xml:space="preserve">The first buyers came from China</w:t>
      </w:r>
    </w:p>
    <w:p xmlns:wp14="http://schemas.microsoft.com/office/word/2010/wordml" w14:paraId="0C5114B6" wp14:textId="77777777">
      <w:pPr>
        <w:spacing w:after="140" w:line="300" w:lineRule="auto"/>
      </w:pPr>
      <w:r w:rsidRPr="1A1F4882" w:rsidR="1A1F4882">
        <w:rPr>
          <w:rFonts w:ascii="Segoe UI" w:hAnsi="Segoe UI" w:eastAsia="Segoe UI" w:cs="Segoe UI"/>
          <w:sz w:val="21"/>
          <w:szCs w:val="21"/>
          <w:lang w:val="en-US"/>
        </w:rPr>
        <w:t>SANY's first large customers were Chinese-owned nickel projects. Chinese firms control about 75% of Indonesia's nickel refining capacity, and they bought from makers they already knew. Between 2014 and 2019 SANY supplied more than 560 machines, 455 of them excavators, to Tsingshan's nickel park at Morowali. That put SANY machines to work in the country before it had to persuade Indonesian buyers.</w:t>
      </w:r>
    </w:p>
    <w:p xmlns:wp14="http://schemas.microsoft.com/office/word/2010/wordml" w14:paraId="623FBE28" wp14:textId="77777777">
      <w:pPr>
        <w:spacing w:after="140" w:line="300" w:lineRule="auto"/>
      </w:pPr>
      <w:r w:rsidRPr="1A1F4882" w:rsidR="1A1F4882">
        <w:rPr>
          <w:rFonts w:ascii="Segoe UI" w:hAnsi="Segoe UI" w:eastAsia="Segoe UI" w:cs="Segoe UI"/>
          <w:sz w:val="21"/>
          <w:szCs w:val="21"/>
          <w:lang w:val="en-US"/>
        </w:rPr>
        <w:t>Indonesian buyers followed. By early 2022 North Sumatra, a province of plantations with no nickel mining, accounted for 30% of SANY's excavator sales. In 2024 the Jhonlin Group, an Indonesian conglomerate, signed for up to 2,000 SANY excavators for its agricultural projects.</w:t>
      </w:r>
    </w:p>
    <w:p xmlns:wp14="http://schemas.microsoft.com/office/word/2010/wordml" w14:paraId="7827D722" wp14:textId="77777777">
      <w:pPr>
        <w:pStyle w:val="Heading3"/>
      </w:pPr>
      <w:r>
        <w:t xml:space="preserve">A lender came years before the share gains</w:t>
      </w:r>
    </w:p>
    <w:p xmlns:wp14="http://schemas.microsoft.com/office/word/2010/wordml" w14:paraId="0240776B" wp14:textId="77777777">
      <w:pPr>
        <w:spacing w:after="140" w:line="300" w:lineRule="auto"/>
      </w:pPr>
      <w:r w:rsidRPr="1A1F4882" w:rsidR="1A1F4882">
        <w:rPr>
          <w:rFonts w:ascii="Segoe UI" w:hAnsi="Segoe UI" w:eastAsia="Segoe UI" w:cs="Segoe UI"/>
          <w:sz w:val="21"/>
          <w:szCs w:val="21"/>
          <w:lang w:val="en-US"/>
        </w:rPr>
        <w:t>Most buyers borrow to pay for machines, and lenders were slow to back brands they did not know. As late as September 2024, the finance arm of state-owned Bank Negara Indonesia said it could not yet finance heavy equipment that was neither Japanese nor European. SANY's distributor worked around this by bringing its own partner. It signed with MNC Leasing in 2017, offered low-deposit loans in 2018 and launched a "buy without cash" scheme in 2019. That was two to four years before SANY's first large gain in share. By the time mainstream lenders began financing Chinese brands in volume (Chapter 1), SANY had a track record that buyers and lenders could see.</w:t>
      </w:r>
    </w:p>
    <w:p xmlns:wp14="http://schemas.microsoft.com/office/word/2010/wordml" w14:paraId="576D336F" wp14:textId="77777777">
      <w:pPr>
        <w:pStyle w:val="Heading3"/>
      </w:pPr>
      <w:r>
        <w:t xml:space="preserve">SANY sold into a segment Komatsu served thinly</w:t>
      </w:r>
    </w:p>
    <w:p xmlns:wp14="http://schemas.microsoft.com/office/word/2010/wordml" w14:paraId="0C4FECD0" wp14:textId="77777777">
      <w:pPr>
        <w:spacing w:after="140" w:line="300" w:lineRule="auto"/>
      </w:pPr>
      <w:r w:rsidRPr="1A1F4882" w:rsidR="1A1F4882">
        <w:rPr>
          <w:rFonts w:ascii="Segoe UI" w:hAnsi="Segoe UI" w:eastAsia="Segoe UI" w:cs="Segoe UI"/>
          <w:sz w:val="21"/>
          <w:szCs w:val="21"/>
          <w:lang w:val="en-US"/>
        </w:rPr>
        <w:t>Indonesia's nickel boom needed different machines from coal. In September 2021 a director of Astra, which owns Komatsu's distributor United Tractors, explained that nickel mines use excavators of 20 to 30 tonnes, while coal mines use machines of up to 300 tonnes. Komatsu had stayed focused on its coal customers. SANY sold into the gap, and in the first half of 2021 it held 26% of the market against Komatsu's 22%.</w:t>
      </w:r>
    </w:p>
    <w:p xmlns:wp14="http://schemas.microsoft.com/office/word/2010/wordml" w14:paraId="590C4928" wp14:textId="77777777">
      <w:pPr>
        <w:spacing w:after="140" w:line="300" w:lineRule="auto"/>
      </w:pPr>
      <w:r w:rsidRPr="1A1F4882" w:rsidR="1A1F4882">
        <w:rPr>
          <w:rFonts w:ascii="Segoe UI" w:hAnsi="Segoe UI" w:eastAsia="Segoe UI" w:cs="Segoe UI"/>
          <w:sz w:val="21"/>
          <w:szCs w:val="21"/>
          <w:lang w:val="en-US"/>
        </w:rPr>
        <w:t>SANY also cut its prices by about 20% in 2021. That did not hold buyers on its own. When coal prices spiked in 2022, coal miners came back and Komatsu regained its share.</w:t>
      </w:r>
    </w:p>
    <w:p xmlns:wp14="http://schemas.microsoft.com/office/word/2010/wordml" w14:paraId="1C855AAF" wp14:textId="77777777">
      <w:pPr>
        <w:pStyle w:val="Heading3"/>
      </w:pPr>
      <w:r>
        <w:t xml:space="preserve">SANY had stock when buyers' margins collapsed</w:t>
      </w:r>
    </w:p>
    <w:p xmlns:wp14="http://schemas.microsoft.com/office/word/2010/wordml" w14:paraId="38A1BBDD" wp14:textId="77777777">
      <w:pPr>
        <w:spacing w:after="140" w:line="300" w:lineRule="auto"/>
      </w:pPr>
      <w:r w:rsidRPr="1A1F4882" w:rsidR="1A1F4882">
        <w:rPr>
          <w:rFonts w:ascii="Segoe UI" w:hAnsi="Segoe UI" w:eastAsia="Segoe UI" w:cs="Segoe UI"/>
          <w:sz w:val="21"/>
          <w:szCs w:val="21"/>
          <w:lang w:val="en-US"/>
        </w:rPr>
        <w:t>In 2022 demand ran at more than twice supply, and United Tractors moved Komatsu output from Japan and India to Indonesia to keep up. Then Indonesia's benchmark coal price fell from US$275.64 a tonne in May 2022 to US$125.85 in January 2024, even as output reached a record. Miners were digging more coal and earning about half as much for each tonne.</w:t>
      </w:r>
    </w:p>
    <w:p xmlns:wp14="http://schemas.microsoft.com/office/word/2010/wordml" w14:paraId="235AA9DA" wp14:textId="77777777">
      <w:pPr>
        <w:spacing w:after="140" w:line="300" w:lineRule="auto"/>
      </w:pPr>
      <w:r w:rsidRPr="1A1F4882" w:rsidR="1A1F4882">
        <w:rPr>
          <w:rFonts w:ascii="Segoe UI" w:hAnsi="Segoe UI" w:eastAsia="Segoe UI" w:cs="Segoe UI"/>
          <w:sz w:val="21"/>
          <w:szCs w:val="21"/>
          <w:lang w:val="en-US"/>
        </w:rPr>
        <w:t>Komatsu's share started to fall in 2024, about 18 months after coal prices turned. Machines delivered in 2022 and 2023 had mostly been ordered at the peak. Orders placed in 2024 and 2025 came from buyers under pressure, and they chose machines that were available and a little cheaper. The lender BFI Finance said buyers picked Chinese brands because they were in stock, made in volume and increasingly accepted. SANY promoted its expanded plant at Karawang on shorter waiting times, and Chinese machines entered duty-free under the ASEAN-China trade agreement. In 2025 the market grew by about 5,600 units. Komatsu's sales grew by about 100.</w:t>
      </w:r>
    </w:p>
    <w:p xmlns:wp14="http://schemas.microsoft.com/office/word/2010/wordml" w14:paraId="1B7E3E5F" wp14:textId="77777777">
      <w:pPr>
        <w:spacing w:after="140" w:line="300"/>
      </w:pPr>
      <w:r>
        <w:rPr>
          <w:rFonts w:ascii="Segoe UI" w:hAnsi="Segoe UI" w:eastAsia="Segoe UI" w:cs="Segoe UI"/>
          <w:sz w:val="21"/>
          <w:szCs w:val="21"/>
        </w:rPr>
        <w:t xml:space="preserve">United Tractors launched a cheaper second range for light and medium work, but Komatsu's share kept falling.</w:t>
      </w:r>
    </w:p>
    <w:p xmlns:wp14="http://schemas.microsoft.com/office/word/2010/wordml" w14:paraId="39D7BA2D" wp14:textId="77777777">
      <w:pPr>
        <w:pStyle w:val="Heading3"/>
      </w:pPr>
      <w:r>
        <w:t xml:space="preserve">Then SANY built what keeps buyers</w:t>
      </w:r>
    </w:p>
    <w:p xmlns:wp14="http://schemas.microsoft.com/office/word/2010/wordml" w14:paraId="352A07C9" wp14:textId="77777777">
      <w:pPr>
        <w:spacing w:after="140" w:line="300" w:lineRule="auto"/>
      </w:pPr>
      <w:r w:rsidRPr="1A1F4882" w:rsidR="1A1F4882">
        <w:rPr>
          <w:rFonts w:ascii="Segoe UI" w:hAnsi="Segoe UI" w:eastAsia="Segoe UI" w:cs="Segoe UI"/>
          <w:sz w:val="21"/>
          <w:szCs w:val="21"/>
          <w:lang w:val="en-US"/>
        </w:rPr>
        <w:t>Volume paid for the assets that bring buyers back. SANY's distributor grew from 3 branches in 2015 to 26 in 2021, and in 2025 it opened a 1,500 square metre spare-parts warehouse in Jakarta. The Karawang plant now makes one excavator model with locally made parts. In September 2026 Indonesia's financial regulator licensed SANY's own finance company. Komatsu and Astra have run theirs since 2005.</w:t>
      </w:r>
    </w:p>
    <w:p xmlns:wp14="http://schemas.microsoft.com/office/word/2010/wordml" w14:paraId="0D8A0731" wp14:textId="77777777">
      <w:pPr>
        <w:pStyle w:val="Heading3"/>
      </w:pPr>
      <w:r>
        <w:t xml:space="preserve">What the case shows</w:t>
      </w:r>
    </w:p>
    <w:p xmlns:wp14="http://schemas.microsoft.com/office/word/2010/wordml" w14:paraId="739C6820" wp14:textId="77777777">
      <w:pPr>
        <w:spacing w:after="140" w:line="300" w:lineRule="auto"/>
      </w:pPr>
      <w:r w:rsidRPr="1A1F4882" w:rsidR="1A1F4882">
        <w:rPr>
          <w:rFonts w:ascii="Segoe UI" w:hAnsi="Segoe UI" w:eastAsia="Segoe UI" w:cs="Segoe UI"/>
          <w:sz w:val="21"/>
          <w:szCs w:val="21"/>
          <w:lang w:val="en-US"/>
        </w:rPr>
        <w:t>The moves built on each other. Chinese-owned projects put SANY's machines to work, a partner lender made them affordable, the nickel segment brought volume, and stock was ready when coal buyers came under pressure. Moves made on their own achieved little. SANY's 20% price cut did not keep coal buyers in 2022, and United Tractors' cheaper range did not stop the slide in 2025. Chapters 3 to 5 take these moves in turn and test them in other products and countries.</w:t>
      </w:r>
    </w:p>
    <w:p xmlns:wp14="http://schemas.microsoft.com/office/word/2010/wordml" w14:paraId="6A05A809" wp14:textId="77777777">
      <w:r>
        <w:br w:type="page"/>
      </w:r>
    </w:p>
    <w:p xmlns:wp14="http://schemas.microsoft.com/office/word/2010/wordml" w14:paraId="02AD9F1F" wp14:textId="77777777">
      <w:pPr>
        <w:pStyle w:val="Heading1"/>
      </w:pPr>
      <w:r>
        <w:t xml:space="preserve">Part II. How they won the everyday end</w:t>
      </w:r>
    </w:p>
    <w:p xmlns:wp14="http://schemas.microsoft.com/office/word/2010/wordml" w:rsidP="1A1F4882" w14:paraId="2D30ECCA" wp14:textId="77777777">
      <w:pPr>
        <w:pBdr>
          <w:left w:val="single" w:color="1F6FD1" w:sz="18" w:space="8"/>
        </w:pBdr>
        <w:spacing w:after="240" w:line="300" w:lineRule="auto"/>
      </w:pPr>
      <w:r w:rsidRPr="1A1F4882" w:rsidR="1A1F4882">
        <w:rPr>
          <w:rFonts w:ascii="Segoe UI" w:hAnsi="Segoe UI" w:eastAsia="Segoe UI" w:cs="Segoe UI"/>
          <w:i w:val="1"/>
          <w:iCs w:val="1"/>
          <w:color w:val="0D1E43"/>
          <w:sz w:val="21"/>
          <w:szCs w:val="21"/>
          <w:lang w:val="en-US"/>
        </w:rPr>
        <w:t>An unknown brand has to win over three groups: the buyers, the dealers and lenders who serve them, and governments. Chapter 3 shows how Chinese makers won the buyers that the leaders served thinly. Chapter 4 shows how they won dealers and partners, and Chapter 5 how they built behind trade barriers.</w:t>
      </w:r>
    </w:p>
    <w:p xmlns:wp14="http://schemas.microsoft.com/office/word/2010/wordml" w14:paraId="1978A4C4" wp14:textId="77777777">
      <w:pPr>
        <w:pStyle w:val="Heading2"/>
      </w:pPr>
      <w:r>
        <w:t xml:space="preserve">3. Win the buyers the leader serves thinly</w:t>
      </w:r>
    </w:p>
    <w:p xmlns:wp14="http://schemas.microsoft.com/office/word/2010/wordml" w14:paraId="4DF8ED1A" wp14:textId="77777777">
      <w:pPr>
        <w:spacing w:after="140" w:line="300" w:lineRule="auto"/>
      </w:pPr>
      <w:r w:rsidRPr="1A1F4882" w:rsidR="1A1F4882">
        <w:rPr>
          <w:rFonts w:ascii="Segoe UI" w:hAnsi="Segoe UI" w:eastAsia="Segoe UI" w:cs="Segoe UI"/>
          <w:sz w:val="21"/>
          <w:szCs w:val="21"/>
          <w:lang w:val="en-US"/>
        </w:rPr>
        <w:t>Chinese makers did not attack established makers where they were strongest. They went after buyers the leaders served thinly. Then they removed the two things that stopped those buyers switching: waiting for a machine, and finding the money to pay for it. A small price gap did the rest.</w:t>
      </w:r>
    </w:p>
    <w:p xmlns:wp14="http://schemas.microsoft.com/office/word/2010/wordml" w14:paraId="4F99CD0B" wp14:textId="77777777">
      <w:pPr>
        <w:pStyle w:val="Heading3"/>
      </w:pPr>
      <w:r>
        <w:t xml:space="preserve">New buyers often came from China</w:t>
      </w:r>
    </w:p>
    <w:p xmlns:wp14="http://schemas.microsoft.com/office/word/2010/wordml" w14:paraId="6911AA4A" wp14:textId="77777777">
      <w:pPr>
        <w:spacing w:after="140" w:line="300" w:lineRule="auto"/>
      </w:pPr>
      <w:r w:rsidRPr="1A1F4882" w:rsidR="1A1F4882">
        <w:rPr>
          <w:rFonts w:ascii="Segoe UI" w:hAnsi="Segoe UI" w:eastAsia="Segoe UI" w:cs="Segoe UI"/>
          <w:sz w:val="21"/>
          <w:szCs w:val="21"/>
          <w:lang w:val="en-US"/>
        </w:rPr>
        <w:t>SANY's first Indonesian customers were Chinese nickel projects (Chapter 2), and the pattern has continued. In July 2026 XCMG opened its first overseas factory for electric machines in the Weda Bay nickel park, and its first loaders went to Tsingshan.</w:t>
      </w:r>
    </w:p>
    <w:p xmlns:wp14="http://schemas.microsoft.com/office/word/2010/wordml" w14:paraId="09BC729E" wp14:textId="77777777">
      <w:pPr>
        <w:spacing w:after="140" w:line="300" w:lineRule="auto"/>
      </w:pPr>
      <w:r w:rsidRPr="1A1F4882" w:rsidR="1A1F4882">
        <w:rPr>
          <w:rFonts w:ascii="Segoe UI" w:hAnsi="Segoe UI" w:eastAsia="Segoe UI" w:cs="Segoe UI"/>
          <w:sz w:val="21"/>
          <w:szCs w:val="21"/>
          <w:lang w:val="en-US"/>
        </w:rPr>
        <w:t>Factory equipment shows the same pull. Haitian, which makes plastic moulding machines, grew its overseas sales by 26.4% in 2025. It credited industrial customers building capacity abroad, and said demand for its main range was "driven by Chinese manufacturers accelerating their international expansion". Those manufacturers are arriving in numbers. Chinese firms made up 6% of the investors in Thailand's industrial estates in 2019 and 17% in early 2026, second only to Japanese firms. China's share of moulding-machine imports into India, Indonesia, Thailand and Malaysia rose from 24% in 2015 to 60% in 2025.</w:t>
      </w:r>
    </w:p>
    <w:p xmlns:wp14="http://schemas.microsoft.com/office/word/2010/wordml" w14:paraId="1A22EFAB" wp14:textId="77777777">
      <w:pPr>
        <w:pStyle w:val="Heading3"/>
      </w:pPr>
      <w:r>
        <w:t xml:space="preserve">Or wanted machines the leader neglected</w:t>
      </w:r>
    </w:p>
    <w:p xmlns:wp14="http://schemas.microsoft.com/office/word/2010/wordml" w14:paraId="559714C9" wp14:textId="77777777">
      <w:pPr>
        <w:spacing w:after="140" w:line="300" w:lineRule="auto"/>
      </w:pPr>
      <w:r w:rsidRPr="1A1F4882" w:rsidR="1A1F4882">
        <w:rPr>
          <w:rFonts w:ascii="Segoe UI" w:hAnsi="Segoe UI" w:eastAsia="Segoe UI" w:cs="Segoe UI"/>
          <w:sz w:val="21"/>
          <w:szCs w:val="21"/>
          <w:lang w:val="en-US"/>
        </w:rPr>
        <w:t>The other way in was a machine the leader did not push. In Indonesia it was the 20 to 30 tonne excavator that nickel mines use (Chapter 2). In India SANY started with long-reach excavators, a small segment, and by its own account took 52% of it within about 18 months in 2016. It then sold cranes and piling rigs through the same dealers.</w:t>
      </w:r>
    </w:p>
    <w:p xmlns:wp14="http://schemas.microsoft.com/office/word/2010/wordml" w14:paraId="7A2E263D" wp14:textId="77777777">
      <w:pPr>
        <w:pStyle w:val="Heading3"/>
      </w:pPr>
      <w:r>
        <w:t xml:space="preserve">Have the machine when the leader is rationing</w:t>
      </w:r>
    </w:p>
    <w:p xmlns:wp14="http://schemas.microsoft.com/office/word/2010/wordml" w14:paraId="19A6A8B8" wp14:textId="77777777">
      <w:pPr>
        <w:spacing w:after="140" w:line="300" w:lineRule="auto"/>
      </w:pPr>
      <w:r w:rsidRPr="1A1F4882" w:rsidR="1A1F4882">
        <w:rPr>
          <w:rFonts w:ascii="Segoe UI" w:hAnsi="Segoe UI" w:eastAsia="Segoe UI" w:cs="Segoe UI"/>
          <w:sz w:val="21"/>
          <w:szCs w:val="21"/>
          <w:lang w:val="en-US"/>
        </w:rPr>
        <w:t>Indonesia showed how much stock matters to buyers under pressure (Chapter 2). Generators for data centres show the same effect in another product. Data-centre building has outrun the established brands' capacity for large generator sets. In August 2026 Cummins said its growth was "constrained by available capacity for larger generator-set configurations", and that it was generally selling new power-generation equipment into the second half of 2028. It named Southeast Asia among the markets where demand for data-centre backup power was particularly strong.</w:t>
      </w:r>
    </w:p>
    <w:p xmlns:wp14="http://schemas.microsoft.com/office/word/2010/wordml" w14:paraId="48775B90" wp14:textId="77777777">
      <w:pPr>
        <w:spacing w:after="140" w:line="300" w:lineRule="auto"/>
      </w:pPr>
      <w:r w:rsidRPr="1A1F4882" w:rsidR="1A1F4882">
        <w:rPr>
          <w:rFonts w:ascii="Segoe UI" w:hAnsi="Segoe UI" w:eastAsia="Segoe UI" w:cs="Segoe UI"/>
          <w:sz w:val="21"/>
          <w:szCs w:val="21"/>
          <w:lang w:val="en-US"/>
        </w:rPr>
        <w:t>Chinese makers filled the gap. China's share of Malaysia's imports of large generator sets rose from 20% in 2019 to 84% in 2024, as those imports grew from US$47m to US$326m. In 2025 they reached US$595m, and China still supplied 82%. In 2024 Weichai reported that its Baudouin generator sets were already in use at data-centre projects in Johor.</w:t>
      </w:r>
    </w:p>
    <w:p xmlns:wp14="http://schemas.microsoft.com/office/word/2010/wordml" w14:paraId="5E48BB25" wp14:textId="77777777">
      <w:pPr>
        <w:pStyle w:val="Heading3"/>
      </w:pPr>
      <w:r>
        <w:t xml:space="preserve">Take away the credit barrier</w:t>
      </w:r>
    </w:p>
    <w:p xmlns:wp14="http://schemas.microsoft.com/office/word/2010/wordml" w14:paraId="0690D8A6" wp14:textId="77777777">
      <w:pPr>
        <w:spacing w:after="140" w:line="300" w:lineRule="auto"/>
      </w:pPr>
      <w:r w:rsidRPr="1A1F4882" w:rsidR="1A1F4882">
        <w:rPr>
          <w:rFonts w:ascii="Segoe UI" w:hAnsi="Segoe UI" w:eastAsia="Segoe UI" w:cs="Segoe UI"/>
          <w:sz w:val="21"/>
          <w:szCs w:val="21"/>
          <w:lang w:val="en-US"/>
        </w:rPr>
        <w:t>In India 85 to 90% of construction equipment is bought on credit, mostly from non-bank lenders, and first-time buyers pay higher rates. A brand that lenders do not know is hard to sell, however good the machine. By 2020 Chinese makers in Southeast Asia were offering buyers incentives such as zero-down-payment finance, according to a Nikkei report on Komatsu's response.</w:t>
      </w:r>
    </w:p>
    <w:p xmlns:wp14="http://schemas.microsoft.com/office/word/2010/wordml" w14:paraId="775D1B0C" wp14:textId="77777777">
      <w:pPr>
        <w:spacing w:after="140" w:line="300" w:lineRule="auto"/>
      </w:pPr>
      <w:r w:rsidRPr="1A1F4882" w:rsidR="1A1F4882">
        <w:rPr>
          <w:rFonts w:ascii="Segoe UI" w:hAnsi="Segoe UI" w:eastAsia="Segoe UI" w:cs="Segoe UI"/>
          <w:sz w:val="21"/>
          <w:szCs w:val="21"/>
          <w:lang w:val="en-US"/>
        </w:rPr>
        <w:t>India's crane market gives the clearest proof that credit moves buyers. In 2025 India's trade regulator found that XCMG's Chinese exporter had given its related Indian importer up to three years' credit. Chinese cranes were only slightly cheaper than Indian ones (Chapter 1), yet Chinese imports rose from 163 units a year to 938, and the Indian producer's market-share index fell from 100 to 17. SANY India says the Jammu and Kashmir Bank finances about 80% of its machine sales in that region.</w:t>
      </w:r>
    </w:p>
    <w:p xmlns:wp14="http://schemas.microsoft.com/office/word/2010/wordml" w14:paraId="237846C5" wp14:textId="77777777">
      <w:pPr>
        <w:pStyle w:val="Heading3"/>
      </w:pPr>
      <w:r>
        <w:t xml:space="preserve">Where it stops</w:t>
      </w:r>
    </w:p>
    <w:p xmlns:wp14="http://schemas.microsoft.com/office/word/2010/wordml" w14:paraId="2A170BCE" wp14:textId="77777777">
      <w:pPr>
        <w:spacing w:after="140" w:line="300" w:lineRule="auto"/>
      </w:pPr>
      <w:r w:rsidRPr="1A1F4882" w:rsidR="1A1F4882">
        <w:rPr>
          <w:rFonts w:ascii="Segoe UI" w:hAnsi="Segoe UI" w:eastAsia="Segoe UI" w:cs="Segoe UI"/>
          <w:sz w:val="21"/>
          <w:szCs w:val="21"/>
          <w:lang w:val="en-US"/>
        </w:rPr>
        <w:t>Where there was no gap, little moved. Thailand had no mining boom, and so no new group of excavator buyers. China's share of Thai excavator imports barely moved, from 35% in 2019 to 36% in 2024, while Japan's rose from 40% to 51%. Over the same years China's share of Thai forklift and moulding-machine imports roughly doubled, so Thai buyers were not avoiding Chinese goods. In India, JCB leads the backhoe-loader segment by a wide margin and Chinese brands have made little headway against it. In the year to March 2026, JCB registered 34,632 construction machines in India and LiuGong registered 1,061.</w:t>
      </w:r>
    </w:p>
    <w:p xmlns:wp14="http://schemas.microsoft.com/office/word/2010/wordml" w14:paraId="63901A76" wp14:textId="77777777">
      <w:pPr>
        <w:spacing w:after="140" w:line="300"/>
      </w:pPr>
      <w:r>
        <w:rPr>
          <w:rFonts w:ascii="Segoe UI" w:hAnsi="Segoe UI" w:eastAsia="Segoe UI" w:cs="Segoe UI"/>
          <w:sz w:val="21"/>
          <w:szCs w:val="21"/>
        </w:rPr>
        <w:t xml:space="preserve">Credit also stopped at the factory gate. We found no Chinese maker offering finance to buyers of compressors, pumps, machine tools or robot arms in India or Southeast Asia.</w:t>
      </w:r>
    </w:p>
    <w:p xmlns:wp14="http://schemas.microsoft.com/office/word/2010/wordml" w14:paraId="0690BBFF" wp14:textId="77777777">
      <w:pPr>
        <w:spacing w:after="140" w:line="300"/>
      </w:pPr>
      <w:r>
        <w:rPr>
          <w:rFonts w:ascii="Segoe UI" w:hAnsi="Segoe UI" w:eastAsia="Segoe UI" w:cs="Segoe UI"/>
          <w:sz w:val="21"/>
          <w:szCs w:val="21"/>
        </w:rPr>
        <w:t xml:space="preserve">For established makers, the warning signs are a group of buyers they barely serve, a size they do not stock, a delivery queue, and buyers who cannot borrow to buy their machines. Chapter 8 returns to each.</w:t>
      </w:r>
    </w:p>
    <w:p xmlns:wp14="http://schemas.microsoft.com/office/word/2010/wordml" w14:paraId="079677FE" wp14:textId="77777777">
      <w:pPr>
        <w:pStyle w:val="Heading2"/>
      </w:pPr>
      <w:r>
        <w:t xml:space="preserve">4. Dealers follow volume: how Chinese makers won the channel</w:t>
      </w:r>
    </w:p>
    <w:p xmlns:wp14="http://schemas.microsoft.com/office/word/2010/wordml" w14:paraId="3C7B6F6F" wp14:textId="77777777">
      <w:pPr>
        <w:spacing w:after="140" w:line="300" w:lineRule="auto"/>
      </w:pPr>
      <w:r w:rsidRPr="1A1F4882" w:rsidR="1A1F4882">
        <w:rPr>
          <w:rFonts w:ascii="Segoe UI" w:hAnsi="Segoe UI" w:eastAsia="Segoe UI" w:cs="Segoe UI"/>
          <w:sz w:val="21"/>
          <w:szCs w:val="21"/>
          <w:lang w:val="en-US"/>
        </w:rPr>
        <w:t>Most machines reach their buyers through someone else: a distributor, a dealer, a lender. Chinese makers won those intermediaries as well as the buyers. They offered what the established brands were not offering: growth at the cheaper end of the market, finance for the dealer's customers, stock and parts from nearby plants, and in some cases a share of the business. Some of the established makers' own dealers took them up on it.</w:t>
      </w:r>
    </w:p>
    <w:p xmlns:wp14="http://schemas.microsoft.com/office/word/2010/wordml" w14:paraId="66D6BC65" wp14:textId="77777777">
      <w:pPr>
        <w:pStyle w:val="Heading3"/>
      </w:pPr>
      <w:r>
        <w:t xml:space="preserve">Dealers changed sides</w:t>
      </w:r>
    </w:p>
    <w:p xmlns:wp14="http://schemas.microsoft.com/office/word/2010/wordml" w14:paraId="6B0496C4" wp14:textId="77777777">
      <w:pPr>
        <w:spacing w:after="140" w:line="300" w:lineRule="auto"/>
      </w:pPr>
      <w:r w:rsidRPr="1A1F4882" w:rsidR="1A1F4882">
        <w:rPr>
          <w:rFonts w:ascii="Segoe UI" w:hAnsi="Segoe UI" w:eastAsia="Segoe UI" w:cs="Segoe UI"/>
          <w:sz w:val="21"/>
          <w:szCs w:val="21"/>
          <w:lang w:val="en-US"/>
        </w:rPr>
        <w:t>In 2020, in a weak Indonesian market, the listed distributor Intraco Penta ended its dealer agreements with Volvo Construction Equipment and took on LiuGong instead, through a partnership with LiuGong's Indonesian company. LiuGong reached about 4% of the national market within months. By 2024 Intraco was counting on the next stage of the deal: the LiuGong machines it had sold since 2020 were reaching the age for component replacement, which meant parts income. By late 2025 it was telling investors that cost-conscious customers could make lower-priced Chinese machines their main choice.</w:t>
      </w:r>
    </w:p>
    <w:p xmlns:wp14="http://schemas.microsoft.com/office/word/2010/wordml" w14:paraId="02E68866" wp14:textId="77777777">
      <w:pPr>
        <w:spacing w:after="140" w:line="300" w:lineRule="auto"/>
      </w:pPr>
      <w:r w:rsidRPr="1A1F4882" w:rsidR="1A1F4882">
        <w:rPr>
          <w:rFonts w:ascii="Segoe UI" w:hAnsi="Segoe UI" w:eastAsia="Segoe UI" w:cs="Segoe UI"/>
          <w:sz w:val="21"/>
          <w:szCs w:val="21"/>
          <w:lang w:val="en-US"/>
        </w:rPr>
        <w:t>Kobexindo, another listed distributor whose brands include Doosan, has gone the same way. In August 2026 its director said the company's strategy centred on Chinese products, which "offer more competitive prices" and can reach a wider market. Its machine sales rose 47% in the first half of the year. Even United Tractors, Komatsu's own distributor, now sells a wide-body mining truck under the Komatsu name that International Mining understands is built by the Chinese maker Tonly (Chapter 7).</w:t>
      </w:r>
    </w:p>
    <w:p xmlns:wp14="http://schemas.microsoft.com/office/word/2010/wordml" w14:paraId="4E6D1606" wp14:textId="77777777">
      <w:pPr>
        <w:pStyle w:val="Heading3"/>
      </w:pPr>
      <w:r>
        <w:t xml:space="preserve">Five routes to the buyer</w:t>
      </w:r>
    </w:p>
    <w:p xmlns:wp14="http://schemas.microsoft.com/office/word/2010/wordml" w14:paraId="334E7BB0" wp14:textId="77777777">
      <w:pPr>
        <w:spacing w:after="140" w:line="300"/>
      </w:pPr>
      <w:r>
        <w:rPr>
          <w:rFonts w:ascii="Segoe UI" w:hAnsi="Segoe UI" w:eastAsia="Segoe UI" w:cs="Segoe UI"/>
          <w:sz w:val="21"/>
          <w:szCs w:val="21"/>
        </w:rPr>
        <w:t xml:space="preserve">SANY has described its overseas model as varying by market: joint ventures with local partners in Indonesia and Thailand, its own subsidiary and plant in India, and established dealers in Europe and the United States. Across the products in this paper, Chinese makers used five routes.</w:t>
      </w:r>
    </w:p>
    <w:p xmlns:wp14="http://schemas.microsoft.com/office/word/2010/wordml" w14:paraId="26534AD5" wp14:textId="77777777">
      <w:pPr>
        <w:spacing w:after="140" w:line="300"/>
      </w:pPr>
      <w:r>
        <w:rPr>
          <w:rFonts w:ascii="Segoe UI" w:hAnsi="Segoe UI" w:eastAsia="Segoe UI" w:cs="Segoe UI"/>
          <w:sz w:val="21"/>
          <w:szCs w:val="21"/>
        </w:rPr>
        <w:t xml:space="preserve">The first is a dedicated distributor supplied by a local plant. In Indonesia, SANY's distributor had 44 branches by 2026, 14 of them in Kalimantan and 9 in Sulawesi, where the coal and nickel mines are. XCMG's dealer, GM Tractors, had 14 branches in 2023 and added service points in Kalimantan's mining areas.</w:t>
      </w:r>
    </w:p>
    <w:p xmlns:wp14="http://schemas.microsoft.com/office/word/2010/wordml" w14:paraId="0F8BCEC7" wp14:textId="77777777">
      <w:pPr>
        <w:spacing w:after="140" w:line="300" w:lineRule="auto"/>
      </w:pPr>
      <w:r w:rsidRPr="1A1F4882" w:rsidR="1A1F4882">
        <w:rPr>
          <w:rFonts w:ascii="Segoe UI" w:hAnsi="Segoe UI" w:eastAsia="Segoe UI" w:cs="Segoe UI"/>
          <w:sz w:val="21"/>
          <w:szCs w:val="21"/>
          <w:lang w:val="en-US"/>
        </w:rPr>
        <w:t>The second combines independent dealers with outlets the maker runs itself. SANY India has about 42 dealers and more than 260 sales and service points. When it appointed Om Infracore as sole dealer for Chhattisgarh in 2023, 307 SANY machines were already at work in the state. In early 2026 it opened a dealer outlet in Indore and a company-run one in Thiruvarur within days of each other.</w:t>
      </w:r>
    </w:p>
    <w:p xmlns:wp14="http://schemas.microsoft.com/office/word/2010/wordml" w14:paraId="7729CCE5" wp14:textId="77777777">
      <w:pPr>
        <w:spacing w:after="140" w:line="300"/>
      </w:pPr>
      <w:r>
        <w:rPr>
          <w:rFonts w:ascii="Segoe UI" w:hAnsi="Segoe UI" w:eastAsia="Segoe UI" w:cs="Segoe UI"/>
          <w:sz w:val="21"/>
          <w:szCs w:val="21"/>
        </w:rPr>
        <w:t xml:space="preserve">The third is an importer owned by the maker, as in XCMG's crane business in India (Chapter 3).</w:t>
      </w:r>
    </w:p>
    <w:p xmlns:wp14="http://schemas.microsoft.com/office/word/2010/wordml" w14:paraId="7A4283D1" wp14:textId="77777777">
      <w:pPr>
        <w:spacing w:after="140" w:line="300"/>
      </w:pPr>
      <w:r>
        <w:rPr>
          <w:rFonts w:ascii="Segoe UI" w:hAnsi="Segoe UI" w:eastAsia="Segoe UI" w:cs="Segoe UI"/>
          <w:sz w:val="21"/>
          <w:szCs w:val="21"/>
        </w:rPr>
        <w:t xml:space="preserve">The fourth is a network that came with a brand the maker bought. XCMG sells its excavators and loaders in India through Schwing Stetter India, the Indian arm of Germany's Schwing, which XCMG owns and which has made concrete machinery in India since 1999.</w:t>
      </w:r>
    </w:p>
    <w:p xmlns:wp14="http://schemas.microsoft.com/office/word/2010/wordml" w14:paraId="323DE55F" wp14:textId="77777777">
      <w:pPr>
        <w:spacing w:after="140" w:line="300" w:lineRule="auto"/>
      </w:pPr>
      <w:r w:rsidRPr="1A1F4882" w:rsidR="1A1F4882">
        <w:rPr>
          <w:rFonts w:ascii="Segoe UI" w:hAnsi="Segoe UI" w:eastAsia="Segoe UI" w:cs="Segoe UI"/>
          <w:sz w:val="21"/>
          <w:szCs w:val="21"/>
          <w:lang w:val="en-US"/>
        </w:rPr>
        <w:t>The fifth is a partner. Heli is building its Thai forklift and battery plant in a joint venture with Siam Motors Parts. Siasun sells robots in Thailand through a joint venture with Somboon, an auto-parts group whose customers include Toyota and Honda. Chinese pump and compressor makers mostly sell through other firms' distributors: Leo's Indonesian business works through about 12.</w:t>
      </w:r>
    </w:p>
    <w:p xmlns:wp14="http://schemas.microsoft.com/office/word/2010/wordml" w14:paraId="1F0FB673" wp14:textId="77777777">
      <w:pPr>
        <w:pStyle w:val="Heading3"/>
      </w:pPr>
      <w:r>
        <w:t xml:space="preserve">What dealers and partners get</w:t>
      </w:r>
    </w:p>
    <w:p xmlns:wp14="http://schemas.microsoft.com/office/word/2010/wordml" w14:paraId="35D58E6A" wp14:textId="77777777">
      <w:pPr>
        <w:spacing w:after="140" w:line="300" w:lineRule="auto"/>
      </w:pPr>
      <w:r w:rsidRPr="1A1F4882" w:rsidR="1A1F4882">
        <w:rPr>
          <w:rFonts w:ascii="Segoe UI" w:hAnsi="Segoe UI" w:eastAsia="Segoe UI" w:cs="Segoe UI"/>
          <w:sz w:val="21"/>
          <w:szCs w:val="21"/>
          <w:lang w:val="en-US"/>
        </w:rPr>
        <w:t>The first thing is growth, which Kobexindo's 47% shows. The second is finance for the dealer's customers. SANY's Indonesian distributor brought in MNC Leasing in 2017 (Chapter 2). LiuGong has worked with the bank UOB since 2018 on a finance framework for its buyers in Indonesia and Thailand; a LiuGong executive explained that "our customers told us that they require machinery financing assistance". In 2025 SANY signed customer-finance agreements worth about RMB1.45bn, one of them with a leasing company in the Tiara Marga Trakindo group, whose dealer Trakindo sells Caterpillar machines.</w:t>
      </w:r>
    </w:p>
    <w:p xmlns:wp14="http://schemas.microsoft.com/office/word/2010/wordml" w14:paraId="16D905E6" wp14:textId="77777777">
      <w:pPr>
        <w:spacing w:after="140" w:line="300" w:lineRule="auto"/>
      </w:pPr>
      <w:r w:rsidRPr="1A1F4882" w:rsidR="1A1F4882">
        <w:rPr>
          <w:rFonts w:ascii="Segoe UI" w:hAnsi="Segoe UI" w:eastAsia="Segoe UI" w:cs="Segoe UI"/>
          <w:sz w:val="21"/>
          <w:szCs w:val="21"/>
          <w:lang w:val="en-US"/>
        </w:rPr>
        <w:t>Some partners get a share of the lender itself. Shandong Heavy Industry, Sinotruk's parent, bought 40% of MNC Leasing in 2024, and in September 2026 XCMG and its dealer GM Tractors announced a finance company as a joint venture. Dealers also get stock and parts close at hand. SANY's distributor opened a 1,500 square metre parts warehouse in Jakarta in 2025, and SANY promotes its Karawang plant on shorter waiting times. And they get a service promise they can sell: XCMG's Indonesian policy commits to responding within 15 minutes, finishing a repair within 24 hours and delivering parts within 72.</w:t>
      </w:r>
    </w:p>
    <w:p xmlns:wp14="http://schemas.microsoft.com/office/word/2010/wordml" w14:paraId="1B3D010F" wp14:textId="77777777">
      <w:pPr>
        <w:pStyle w:val="Heading3"/>
      </w:pPr>
      <w:r>
        <w:t xml:space="preserve">Where it stops</w:t>
      </w:r>
    </w:p>
    <w:p xmlns:wp14="http://schemas.microsoft.com/office/word/2010/wordml" w14:paraId="1005B029" wp14:textId="77777777">
      <w:pPr>
        <w:spacing w:after="140" w:line="300" w:lineRule="auto"/>
      </w:pPr>
      <w:r w:rsidRPr="1A1F4882" w:rsidR="1A1F4882">
        <w:rPr>
          <w:rFonts w:ascii="Segoe UI" w:hAnsi="Segoe UI" w:eastAsia="Segoe UI" w:cs="Segoe UI"/>
          <w:sz w:val="21"/>
          <w:szCs w:val="21"/>
          <w:lang w:val="en-US"/>
        </w:rPr>
        <w:t>Deep dealer networks still hold where loyalty is old. Tata Hitachi makes about 90% of its sales through some 230 dealer outlets, and it has won back part of its mining business (Chapter 6). A network that grows faster than its parts supply also leaves dealers exposed. When the Chinese carmaker Neta's parent went bankrupt in 2025, 18 of its Thai dealers sought more than THB200m, and some repairs waited up to ten months for parts. That case is a car maker's, but the lesson applies to any dealer taking on a new brand.</w:t>
      </w:r>
    </w:p>
    <w:p xmlns:wp14="http://schemas.microsoft.com/office/word/2010/wordml" w14:paraId="51DC622B" wp14:textId="77777777">
      <w:pPr>
        <w:spacing w:after="140" w:line="300" w:lineRule="auto"/>
      </w:pPr>
      <w:r w:rsidRPr="1A1F4882" w:rsidR="1A1F4882">
        <w:rPr>
          <w:rFonts w:ascii="Segoe UI" w:hAnsi="Segoe UI" w:eastAsia="Segoe UI" w:cs="Segoe UI"/>
          <w:sz w:val="21"/>
          <w:szCs w:val="21"/>
          <w:lang w:val="en-US"/>
        </w:rPr>
        <w:t>For established makers, dealers follow volume. A dealer that an established brand cannot help grow will find a brand that can. Chapter 8 returns to this.</w:t>
      </w:r>
    </w:p>
    <w:p xmlns:wp14="http://schemas.microsoft.com/office/word/2010/wordml" w14:paraId="738800BF" wp14:textId="77777777">
      <w:pPr>
        <w:pStyle w:val="Heading2"/>
      </w:pPr>
      <w:r>
        <w:t xml:space="preserve">5. Build behind the wall</w:t>
      </w:r>
    </w:p>
    <w:p xmlns:wp14="http://schemas.microsoft.com/office/word/2010/wordml" w14:paraId="26301195" wp14:textId="77777777">
      <w:pPr>
        <w:spacing w:after="140" w:line="300" w:lineRule="auto"/>
      </w:pPr>
      <w:r w:rsidRPr="1A1F4882" w:rsidR="1A1F4882">
        <w:rPr>
          <w:rFonts w:ascii="Segoe UI" w:hAnsi="Segoe UI" w:eastAsia="Segoe UI" w:cs="Segoe UI"/>
          <w:sz w:val="21"/>
          <w:szCs w:val="21"/>
          <w:lang w:val="en-US"/>
        </w:rPr>
        <w:t>When governments put up barriers, Chinese makers built factories behind them. Duties cut Chinese imports where they were imposed, but they did not push Chinese makers out. The contest moved inside the border.</w:t>
      </w:r>
    </w:p>
    <w:p xmlns:wp14="http://schemas.microsoft.com/office/word/2010/wordml" w14:paraId="3FEE3BD4" wp14:textId="77777777">
      <w:pPr>
        <w:pStyle w:val="Heading3"/>
      </w:pPr>
      <w:r>
        <w:t xml:space="preserve">In India, the plant came first</w:t>
      </w:r>
    </w:p>
    <w:p xmlns:wp14="http://schemas.microsoft.com/office/word/2010/wordml" w14:paraId="73AC12A4" wp14:textId="77777777">
      <w:pPr>
        <w:spacing w:after="140" w:line="300" w:lineRule="auto"/>
      </w:pPr>
      <w:r w:rsidRPr="1A1F4882" w:rsidR="1A1F4882">
        <w:rPr>
          <w:rFonts w:ascii="Segoe UI" w:hAnsi="Segoe UI" w:eastAsia="Segoe UI" w:cs="Segoe UI"/>
          <w:sz w:val="21"/>
          <w:szCs w:val="21"/>
          <w:lang w:val="en-US"/>
        </w:rPr>
        <w:t>India makes more than 95% of the construction equipment it buys, so a maker that wants volume there has to build there. SANY opened its plant at Chakan, near Pune, in 2009 and 2010, years before it led any segment, and expanded it in 2025 to more than 14,000 machines a year. XCMG, Zoomlion and LiuGong have since built or expanded Indian plants of their own. By SANY's own figures, its Indian revenue grew from about Rs970 crore in 2016 to between Rs8,000 and 9,000 crore in 2024, and it now has more than 35,000 machines at work in India.</w:t>
      </w:r>
    </w:p>
    <w:p xmlns:wp14="http://schemas.microsoft.com/office/word/2010/wordml" w14:paraId="361455E7" wp14:textId="77777777">
      <w:pPr>
        <w:pStyle w:val="Heading3"/>
      </w:pPr>
      <w:r>
        <w:t xml:space="preserve">Duties cut imports, then the makers moved in</w:t>
      </w:r>
    </w:p>
    <w:p xmlns:wp14="http://schemas.microsoft.com/office/word/2010/wordml" w14:paraId="3C9F1203" wp14:textId="77777777">
      <w:pPr>
        <w:spacing w:after="140" w:line="300" w:lineRule="auto"/>
      </w:pPr>
      <w:r w:rsidRPr="1A1F4882" w:rsidR="1A1F4882">
        <w:rPr>
          <w:rFonts w:ascii="Segoe UI" w:hAnsi="Segoe UI" w:eastAsia="Segoe UI" w:cs="Segoe UI"/>
          <w:sz w:val="21"/>
          <w:szCs w:val="21"/>
          <w:lang w:val="en-US"/>
        </w:rPr>
        <w:t>India has put anti-dumping duties on Chinese factory equipment, and they did cut imports. In December 2023 it imposed duties of 22.5 to 147% on Chinese machines for laser cutting, marking and welding. India's imports of these machines from China fell from US$137m in 2023 to US$63m in 2024, and China's share from 66% to 47%. The duties also caught Western brands' Chinese factories, including Bystronic's. The leading Chinese brand stayed. HSG Laser says it still led India's laser-cutting sales in 2023 and 2024, and in 2025 it announced a US$10m factory in India.</w:t>
      </w:r>
    </w:p>
    <w:p xmlns:wp14="http://schemas.microsoft.com/office/word/2010/wordml" w14:paraId="23CA64A9" wp14:textId="77777777">
      <w:pPr>
        <w:spacing w:after="140" w:line="300" w:lineRule="auto"/>
      </w:pPr>
      <w:r w:rsidRPr="1A1F4882" w:rsidR="1A1F4882">
        <w:rPr>
          <w:rFonts w:ascii="Segoe UI" w:hAnsi="Segoe UI" w:eastAsia="Segoe UI" w:cs="Segoe UI"/>
          <w:sz w:val="21"/>
          <w:szCs w:val="21"/>
          <w:lang w:val="en-US"/>
        </w:rPr>
        <w:t>Moulding machines followed the same course. After duties of up to 63% took effect in June 2025, China's share of India's moulding-machine imports fell from 53% to 47% in a year, while Japan's rose from 21% to 25%. Yizumi, one of the Chinese makers named in the case, already had an Indian plant, which had delivered 3,500 machines by September 2025. The firms that asked for these duties included Shibaura Machine India and Milacron India, established makers with Indian plants of their own.</w:t>
      </w:r>
    </w:p>
    <w:p xmlns:wp14="http://schemas.microsoft.com/office/word/2010/wordml" w14:paraId="2C14C166" wp14:textId="77777777">
      <w:pPr>
        <w:spacing w:after="140" w:line="300" w:lineRule="auto"/>
      </w:pPr>
      <w:r w:rsidRPr="1A1F4882" w:rsidR="1A1F4882">
        <w:rPr>
          <w:rFonts w:ascii="Segoe UI" w:hAnsi="Segoe UI" w:eastAsia="Segoe UI" w:cs="Segoe UI"/>
          <w:sz w:val="21"/>
          <w:szCs w:val="21"/>
          <w:lang w:val="en-US"/>
        </w:rPr>
        <w:t>Cranes went differently. India's trade regulator recommended duties on Chinese cranes in September 2025, but by August 2026 the government had still not imposed them.</w:t>
      </w:r>
    </w:p>
    <w:p xmlns:wp14="http://schemas.microsoft.com/office/word/2010/wordml" w14:paraId="0742A73D" wp14:textId="77777777">
      <w:pPr>
        <w:pStyle w:val="Heading3"/>
      </w:pPr>
      <w:r>
        <w:t xml:space="preserve">In Indonesia, local content decides public purchases</w:t>
      </w:r>
    </w:p>
    <w:p xmlns:wp14="http://schemas.microsoft.com/office/word/2010/wordml" w14:paraId="6DA955DD" wp14:textId="77777777">
      <w:pPr>
        <w:spacing w:after="140" w:line="300" w:lineRule="auto"/>
      </w:pPr>
      <w:r w:rsidRPr="1A1F4882" w:rsidR="1A1F4882">
        <w:rPr>
          <w:rFonts w:ascii="Segoe UI" w:hAnsi="Segoe UI" w:eastAsia="Segoe UI" w:cs="Segoe UI"/>
          <w:sz w:val="21"/>
          <w:szCs w:val="21"/>
          <w:lang w:val="en-US"/>
        </w:rPr>
        <w:t>Indonesia's rules work through government buying rather than duties. Public buyers must choose a product with more than 40% local content where one exists, and since December 2025 investing in Indonesia earns a maker extra local-content credit. On the government's procurement catalogue, Komatsu's 20-tonne excavator scores 51.2%. SANY's equivalent scores nothing, because it is listed as an import. Chinese makers are responding with plants. LiuGong broke ground on a US$317m factory at Karawang in July 2026, with a first phase of 5,000 machines a year, and committed to raising its local content.</w:t>
      </w:r>
    </w:p>
    <w:p xmlns:wp14="http://schemas.microsoft.com/office/word/2010/wordml" w14:paraId="6F548D1E" wp14:textId="77777777">
      <w:pPr>
        <w:spacing w:after="140" w:line="300" w:lineRule="auto"/>
      </w:pPr>
      <w:r w:rsidRPr="1A1F4882" w:rsidR="1A1F4882">
        <w:rPr>
          <w:rFonts w:ascii="Segoe UI" w:hAnsi="Segoe UI" w:eastAsia="Segoe UI" w:cs="Segoe UI"/>
          <w:sz w:val="21"/>
          <w:szCs w:val="21"/>
          <w:lang w:val="en-US"/>
        </w:rPr>
        <w:t>India is steering the next wave in a similar way. Since May 2026 its Press Note 2 has offered a 60-day approval route for investment in capital goods from countries that share a land border with India, provided Indian residents keep majority ownership and control.</w:t>
      </w:r>
    </w:p>
    <w:p xmlns:wp14="http://schemas.microsoft.com/office/word/2010/wordml" w14:paraId="4AC3DEB3" wp14:textId="77777777">
      <w:pPr>
        <w:spacing w:after="140" w:line="300"/>
      </w:pPr>
      <w:r>
        <w:rPr>
          <w:rFonts w:ascii="Segoe UI" w:hAnsi="Segoe UI" w:eastAsia="Segoe UI" w:cs="Segoe UI"/>
          <w:sz w:val="21"/>
          <w:szCs w:val="21"/>
        </w:rPr>
        <w:t xml:space="preserve">For established makers, local plants and local content are assets they already hold, and they win public tenders. They do not keep Chinese makers out for long. The contest that follows is fought on service and uptime, which Chapter 6 takes up.</w:t>
      </w:r>
    </w:p>
    <w:sectPr>
      <w:footerReference w:type="default" r:id="rId7"/>
      <w:pgSz w:w="11906" w:h="16838" w:orient="portrait"/>
      <w:pgMar w:top="1300" w:right="1300" w:bottom="1300" w:left="130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4175143C" wp14:textId="77777777">
    <w:pPr>
      <w:jc w:val="right"/>
    </w:pPr>
    <w:r>
      <w:rPr>
        <w:rFonts w:ascii="Segoe UI" w:hAnsi="Segoe UI" w:eastAsia="Segoe UI" w:cs="Segoe UI"/>
        <w:color w:val="5A5A5A"/>
        <w:sz w:val="16"/>
        <w:szCs w:val="16"/>
      </w:rPr>
      <w:t xml:space="preserve">The China Playbook · working draft · </w:t>
    </w:r>
    <w:r>
      <w:rPr>
        <w:rFonts w:ascii="Segoe UI" w:hAnsi="Segoe UI" w:eastAsia="Segoe UI" w:cs="Segoe UI"/>
        <w:color w:val="5A5A5A"/>
        <w:sz w:val="16"/>
        <w:szCs w:val="16"/>
      </w:rPr>
      <w:fldChar w:fldCharType="begin"/>
    </w:r>
    <w:r>
      <w:rPr>
        <w:rFonts w:ascii="Segoe UI" w:hAnsi="Segoe UI" w:eastAsia="Segoe UI" w:cs="Segoe UI"/>
        <w:color w:val="5A5A5A"/>
        <w:sz w:val="16"/>
        <w:szCs w:val="16"/>
      </w:rPr>
      <w:instrText xml:space="preserve">PAGE</w:instrText>
    </w:r>
    <w:r>
      <w:rPr>
        <w:rFonts w:ascii="Segoe UI" w:hAnsi="Segoe UI" w:eastAsia="Segoe UI" w:cs="Segoe UI"/>
        <w:color w:val="5A5A5A"/>
        <w:sz w:val="16"/>
        <w:szCs w:val="16"/>
      </w:rPr>
      <w:fldChar w:fldCharType="separate"/>
    </w:r>
    <w:r>
      <w:rPr>
        <w:rFonts w:ascii="Segoe UI" w:hAnsi="Segoe UI" w:eastAsia="Segoe UI" w:cs="Segoe UI"/>
        <w:color w:val="5A5A5A"/>
        <w:sz w:val="16"/>
        <w:szCs w:val="16"/>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8d133f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b66fea"/>
    <w:multiLevelType w:val="hybridMultilevel"/>
    <w:lvl w:ilvl="0" w15:tentative="1">
      <w:start w:val="1"/>
      <w:numFmt w:val="bullet"/>
      <w:lvlText w:val="•"/>
      <w:lvlJc w:val="left"/>
      <w:pPr>
        <w:ind w:left="540" w:hanging="27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2F2C2258"/>
  <w15:docId w15:val="{FCC55F34-24B7-42E8-86BE-27A442D4F24C}"/>
  <w:rsids>
    <w:rsidRoot w:val="0BA97726"/>
    <w:rsid w:val="0BA97726"/>
    <w:rsid w:val="15A61AEE"/>
    <w:rsid w:val="15A61AEE"/>
    <w:rsid w:val="1A1F4882"/>
    <w:rsid w:val="42DCA09A"/>
    <w:rsid w:val="629D6258"/>
    <w:rsid w:val="7064D015"/>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Segoe UI" w:hAnsi="Segoe UI" w:eastAsia="Segoe UI" w:cs="Segoe U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240" w:after="200"/>
      <w:outlineLvl w:val="0"/>
    </w:pPr>
    <w:rPr>
      <w:rFonts w:ascii="Palatino Linotype" w:hAnsi="Palatino Linotype" w:eastAsia="Palatino Linotype" w:cs="Palatino Linotype"/>
      <w:b/>
      <w:bCs/>
      <w:color w:val="0D1E43"/>
      <w:sz w:val="40"/>
      <w:szCs w:val="40"/>
    </w:rPr>
  </w:style>
  <w:style w:type="paragraph" w:styleId="Heading2">
    <w:name w:val="heading 20"/>
    <w:basedOn w:val="Normal"/>
    <w:next w:val="Normal"/>
    <w:qFormat/>
    <w:pPr>
      <w:spacing w:before="360" w:after="160"/>
      <w:outlineLvl w:val="1"/>
    </w:pPr>
    <w:rPr>
      <w:rFonts w:ascii="Palatino Linotype" w:hAnsi="Palatino Linotype" w:eastAsia="Palatino Linotype" w:cs="Palatino Linotype"/>
      <w:b/>
      <w:bCs/>
      <w:color w:val="0D1E43"/>
      <w:sz w:val="30"/>
      <w:szCs w:val="30"/>
    </w:rPr>
  </w:style>
  <w:style w:type="paragraph" w:styleId="Heading3">
    <w:name w:val="heading 30"/>
    <w:basedOn w:val="Normal"/>
    <w:next w:val="Normal"/>
    <w:qFormat/>
    <w:pPr>
      <w:spacing w:before="220" w:after="100"/>
      <w:outlineLvl w:val="2"/>
    </w:pPr>
    <w:rPr>
      <w:rFonts w:ascii="Palatino Linotype" w:hAnsi="Palatino Linotype" w:eastAsia="Palatino Linotype" w:cs="Palatino Linotype"/>
      <w:b/>
      <w:bCs/>
      <w:color w:val="1F6FD1"/>
      <w:sz w:val="24"/>
      <w:szCs w:val="24"/>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fontTable" Target="fontTable.xml" Id="rId8"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The China Playbook: working draft, Parts I and II</dc:title>
  <dc:creator>YCP</dc:creator>
  <lastModifiedBy>Vinayak Agarwal</lastModifiedBy>
  <revision>2</revision>
  <dcterms:created xsi:type="dcterms:W3CDTF">2026-10-12T12:46:54.8080000Z</dcterms:created>
  <dcterms:modified xsi:type="dcterms:W3CDTF">2026-10-12T15:47:46.7993210Z</dcterms:modified>
</coreProperties>
</file>

<file path=docProps/custom.xml><?xml version="1.0" encoding="utf-8"?>
<Properties xmlns="http://schemas.openxmlformats.org/officeDocument/2006/custom-properties" xmlns:vt="http://schemas.openxmlformats.org/officeDocument/2006/docPropsVTypes"/>
</file>