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98C" w:rsidRDefault="00F74BA1">
      <w:pPr>
        <w:rPr>
          <w:lang w:val="vi-VN"/>
        </w:rPr>
      </w:pPr>
      <w:r>
        <w:br/>
      </w:r>
      <w:r>
        <w:rPr>
          <w:lang w:val="vi-VN"/>
        </w:rPr>
        <w:t>Continuous Distribution có không gian mẫu là vô hạn, nên không thể record frequency của từng giá trị riêng lẻ</w:t>
      </w:r>
    </w:p>
    <w:p w:rsidR="00F74BA1" w:rsidRDefault="00F74BA1">
      <w:pPr>
        <w:rPr>
          <w:lang w:val="vi-VN"/>
        </w:rPr>
      </w:pPr>
    </w:p>
    <w:p w:rsidR="00F74BA1" w:rsidRDefault="00F74BA1">
      <w:pPr>
        <w:rPr>
          <w:lang w:val="vi-VN"/>
        </w:rPr>
      </w:pPr>
      <w:r>
        <w:rPr>
          <w:noProof/>
        </w:rPr>
        <w:drawing>
          <wp:inline distT="0" distB="0" distL="0" distR="0">
            <wp:extent cx="4508500" cy="269545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15" cy="27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BA1" w:rsidRDefault="00F74BA1">
      <w:pPr>
        <w:rPr>
          <w:lang w:val="vi-VN"/>
        </w:rPr>
      </w:pPr>
      <w:r>
        <w:rPr>
          <w:lang w:val="vi-VN"/>
        </w:rPr>
        <w:t>Probability Density Function – PDF, kí hiệu là f(y)</w:t>
      </w:r>
    </w:p>
    <w:p w:rsidR="00F74BA1" w:rsidRDefault="00B700BD">
      <w:pPr>
        <w:rPr>
          <w:lang w:val="vi-VN"/>
        </w:rPr>
      </w:pPr>
      <w:r>
        <w:rPr>
          <w:lang w:val="vi-VN"/>
        </w:rPr>
        <w:t>Probability Distribution Curve - PDC</w:t>
      </w:r>
    </w:p>
    <w:p w:rsidR="00B700BD" w:rsidRDefault="00B700BD">
      <w:pPr>
        <w:rPr>
          <w:lang w:val="vi-VN"/>
        </w:rPr>
      </w:pPr>
    </w:p>
    <w:p w:rsidR="00B700BD" w:rsidRDefault="00B700BD">
      <w:pPr>
        <w:rPr>
          <w:lang w:val="vi-VN"/>
        </w:rPr>
      </w:pPr>
      <w:r>
        <w:rPr>
          <w:noProof/>
        </w:rPr>
        <w:drawing>
          <wp:inline distT="0" distB="0" distL="0" distR="0">
            <wp:extent cx="4546600" cy="255535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833" cy="256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0BD" w:rsidRDefault="00B700BD">
      <w:pPr>
        <w:rPr>
          <w:lang w:val="vi-VN"/>
        </w:rPr>
      </w:pPr>
    </w:p>
    <w:p w:rsidR="00B700BD" w:rsidRDefault="00B700BD">
      <w:pPr>
        <w:rPr>
          <w:lang w:val="vi-VN"/>
        </w:rPr>
      </w:pPr>
      <w:r>
        <w:rPr>
          <w:lang w:val="vi-VN"/>
        </w:rPr>
        <w:t>Tất cả các Probability Function của Discrete Distribution đều là theo PDF</w:t>
      </w:r>
    </w:p>
    <w:p w:rsidR="00B700BD" w:rsidRDefault="00B700BD">
      <w:pPr>
        <w:rPr>
          <w:lang w:val="vi-VN"/>
        </w:rPr>
      </w:pPr>
    </w:p>
    <w:p w:rsidR="00B700BD" w:rsidRDefault="00B700BD">
      <w:pPr>
        <w:rPr>
          <w:lang w:val="vi-VN"/>
        </w:rPr>
      </w:pPr>
      <w:r>
        <w:rPr>
          <w:lang w:val="vi-VN"/>
        </w:rPr>
        <w:lastRenderedPageBreak/>
        <w:t>Với Continuous Distribution thì sử dụng Cumulative Distribution Function – CDF</w:t>
      </w:r>
    </w:p>
    <w:p w:rsidR="00B700BD" w:rsidRDefault="00B700BD">
      <w:pPr>
        <w:rPr>
          <w:lang w:val="vi-VN"/>
        </w:rPr>
      </w:pPr>
    </w:p>
    <w:p w:rsidR="00B700BD" w:rsidRDefault="00B700BD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484630"/>
            <wp:positionH relativeFrom="column">
              <wp:align>left</wp:align>
            </wp:positionH>
            <wp:positionV relativeFrom="paragraph">
              <wp:align>top</wp:align>
            </wp:positionV>
            <wp:extent cx="4603115" cy="2311400"/>
            <wp:effectExtent l="0" t="0" r="698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00BD" w:rsidRPr="00B700BD" w:rsidRDefault="00B700BD" w:rsidP="00B700BD">
      <w:pPr>
        <w:rPr>
          <w:lang w:val="vi-VN"/>
        </w:rPr>
      </w:pPr>
    </w:p>
    <w:p w:rsidR="00B700BD" w:rsidRPr="00B700BD" w:rsidRDefault="00B700BD" w:rsidP="00B700BD">
      <w:pPr>
        <w:rPr>
          <w:lang w:val="vi-VN"/>
        </w:rPr>
      </w:pPr>
    </w:p>
    <w:p w:rsidR="00B700BD" w:rsidRPr="00B700BD" w:rsidRDefault="00B700BD" w:rsidP="00B700BD">
      <w:pPr>
        <w:rPr>
          <w:lang w:val="vi-VN"/>
        </w:rPr>
      </w:pPr>
    </w:p>
    <w:p w:rsidR="00B700BD" w:rsidRPr="00B700BD" w:rsidRDefault="00B700BD" w:rsidP="00B700BD">
      <w:pPr>
        <w:rPr>
          <w:lang w:val="vi-VN"/>
        </w:rPr>
      </w:pPr>
    </w:p>
    <w:p w:rsidR="00B700BD" w:rsidRPr="00B700BD" w:rsidRDefault="00B700BD" w:rsidP="00B700BD">
      <w:pPr>
        <w:rPr>
          <w:lang w:val="vi-VN"/>
        </w:rPr>
      </w:pPr>
    </w:p>
    <w:p w:rsidR="00B700BD" w:rsidRPr="00B700BD" w:rsidRDefault="00B700BD" w:rsidP="00B700BD">
      <w:pPr>
        <w:rPr>
          <w:lang w:val="vi-VN"/>
        </w:rPr>
      </w:pPr>
    </w:p>
    <w:p w:rsidR="00B700BD" w:rsidRDefault="00B700BD" w:rsidP="00B700BD">
      <w:pPr>
        <w:jc w:val="center"/>
        <w:rPr>
          <w:lang w:val="vi-VN"/>
        </w:rPr>
      </w:pPr>
    </w:p>
    <w:p w:rsidR="00B700BD" w:rsidRDefault="00B700BD">
      <w:pPr>
        <w:rPr>
          <w:lang w:val="vi-VN"/>
        </w:rPr>
      </w:pPr>
    </w:p>
    <w:p w:rsidR="00B700BD" w:rsidRDefault="00B700BD">
      <w:pPr>
        <w:rPr>
          <w:lang w:val="vi-VN"/>
        </w:rPr>
      </w:pPr>
      <w:r>
        <w:rPr>
          <w:noProof/>
        </w:rPr>
        <w:drawing>
          <wp:inline distT="0" distB="0" distL="0" distR="0">
            <wp:extent cx="4613776" cy="318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003" cy="319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0BD" w:rsidRDefault="00B700BD">
      <w:pPr>
        <w:rPr>
          <w:lang w:val="vi-VN"/>
        </w:rPr>
      </w:pPr>
    </w:p>
    <w:p w:rsidR="00B700BD" w:rsidRDefault="00B700BD">
      <w:pPr>
        <w:rPr>
          <w:lang w:val="vi-VN"/>
        </w:rPr>
      </w:pPr>
      <w:r>
        <w:rPr>
          <w:lang w:val="vi-VN"/>
        </w:rPr>
        <w:t>Vì xác suất của từng khả năng xảy ra gần như = 0, nên không thể sử dụng công thức tính E như bình thường</w:t>
      </w:r>
    </w:p>
    <w:p w:rsidR="00B700BD" w:rsidRDefault="00B700BD">
      <w:pPr>
        <w:rPr>
          <w:lang w:val="vi-VN"/>
        </w:rPr>
      </w:pPr>
      <w:r>
        <w:rPr>
          <w:lang w:val="vi-VN"/>
        </w:rPr>
        <w:t>Thay vào đó ta sử dụng tích phân</w:t>
      </w:r>
    </w:p>
    <w:p w:rsidR="00B700BD" w:rsidRDefault="00B700BD">
      <w:pPr>
        <w:rPr>
          <w:lang w:val="vi-VN"/>
        </w:rPr>
      </w:pPr>
    </w:p>
    <w:p w:rsidR="00B700BD" w:rsidRDefault="00B700BD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4654550" cy="23869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949" cy="239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0BD" w:rsidRDefault="00B700BD">
      <w:pPr>
        <w:rPr>
          <w:lang w:val="vi-VN"/>
        </w:rPr>
      </w:pPr>
    </w:p>
    <w:p w:rsidR="00B700BD" w:rsidRDefault="00B700BD">
      <w:pPr>
        <w:rPr>
          <w:lang w:val="vi-VN"/>
        </w:rPr>
      </w:pPr>
      <w:bookmarkStart w:id="0" w:name="_GoBack"/>
      <w:r>
        <w:rPr>
          <w:noProof/>
        </w:rPr>
        <w:drawing>
          <wp:inline distT="0" distB="0" distL="0" distR="0">
            <wp:extent cx="4705350" cy="170600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79" cy="170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700BD" w:rsidRDefault="00B700BD">
      <w:pPr>
        <w:rPr>
          <w:lang w:val="vi-VN"/>
        </w:rPr>
      </w:pPr>
    </w:p>
    <w:p w:rsidR="00B700BD" w:rsidRPr="00F74BA1" w:rsidRDefault="00B700BD">
      <w:pPr>
        <w:rPr>
          <w:lang w:val="vi-VN"/>
        </w:rPr>
      </w:pPr>
      <w:r>
        <w:rPr>
          <w:lang w:val="vi-VN"/>
        </w:rPr>
        <w:br w:type="textWrapping" w:clear="all"/>
      </w:r>
    </w:p>
    <w:sectPr w:rsidR="00B700BD" w:rsidRPr="00F74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BA1"/>
    <w:rsid w:val="00AC4CAA"/>
    <w:rsid w:val="00B700BD"/>
    <w:rsid w:val="00D64C62"/>
    <w:rsid w:val="00E36353"/>
    <w:rsid w:val="00F7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1B767"/>
  <w15:chartTrackingRefBased/>
  <w15:docId w15:val="{714CD5A8-010F-43DF-B32A-F49AB1881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2021-06-08T02:49:00Z</dcterms:created>
  <dcterms:modified xsi:type="dcterms:W3CDTF">2021-06-08T03:15:00Z</dcterms:modified>
</cp:coreProperties>
</file>