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71DC2">
      <w:pPr>
        <w:spacing w:before="169" w:line="408" w:lineRule="auto"/>
        <w:ind w:right="1297"/>
        <w:jc w:val="center"/>
        <w:rPr>
          <w:rFonts w:hint="eastAsia" w:ascii="黑体" w:hAnsi="黑体" w:eastAsia="黑体" w:cs="黑体"/>
          <w:sz w:val="52"/>
          <w:szCs w:val="52"/>
        </w:rPr>
      </w:pPr>
    </w:p>
    <w:p w14:paraId="35FF20F2">
      <w:pPr>
        <w:spacing w:before="169" w:line="408" w:lineRule="auto"/>
        <w:ind w:right="1297"/>
        <w:jc w:val="center"/>
        <w:rPr>
          <w:rFonts w:ascii="黑体" w:hAnsi="黑体" w:eastAsia="黑体" w:cs="黑体"/>
          <w:sz w:val="52"/>
          <w:szCs w:val="52"/>
        </w:rPr>
      </w:pPr>
      <w:r>
        <w:rPr>
          <w:rFonts w:hint="eastAsia" w:ascii="黑体" w:hAnsi="黑体" w:eastAsia="黑体" w:cs="黑体"/>
          <w:sz w:val="52"/>
          <w:szCs w:val="52"/>
        </w:rPr>
        <w:t>规划和自然资源公共数据产品建设项目</w:t>
      </w:r>
    </w:p>
    <w:p w14:paraId="1B2CAB1F">
      <w:pPr>
        <w:spacing w:line="255" w:lineRule="auto"/>
        <w:rPr>
          <w:rFonts w:ascii="Arial"/>
          <w:sz w:val="21"/>
        </w:rPr>
      </w:pPr>
    </w:p>
    <w:p w14:paraId="63C71714">
      <w:pPr>
        <w:spacing w:line="256" w:lineRule="auto"/>
        <w:rPr>
          <w:rFonts w:ascii="Arial"/>
          <w:sz w:val="21"/>
        </w:rPr>
      </w:pPr>
    </w:p>
    <w:p w14:paraId="1280AC09">
      <w:pPr>
        <w:spacing w:line="256" w:lineRule="auto"/>
        <w:rPr>
          <w:rFonts w:ascii="Arial"/>
          <w:sz w:val="21"/>
        </w:rPr>
      </w:pPr>
    </w:p>
    <w:p w14:paraId="354768EF">
      <w:pPr>
        <w:spacing w:line="256" w:lineRule="auto"/>
        <w:rPr>
          <w:rFonts w:ascii="Arial"/>
          <w:sz w:val="21"/>
        </w:rPr>
      </w:pPr>
      <w:r>
        <w:rPr>
          <w:sz w:val="21"/>
        </w:rPr>
        <mc:AlternateContent>
          <mc:Choice Requires="wps">
            <w:drawing>
              <wp:anchor distT="0" distB="0" distL="114300" distR="114300" simplePos="0" relativeHeight="251659264" behindDoc="0" locked="0" layoutInCell="1" allowOverlap="1">
                <wp:simplePos x="0" y="0"/>
                <wp:positionH relativeFrom="column">
                  <wp:posOffset>2009775</wp:posOffset>
                </wp:positionH>
                <wp:positionV relativeFrom="paragraph">
                  <wp:posOffset>74930</wp:posOffset>
                </wp:positionV>
                <wp:extent cx="1828800" cy="1828800"/>
                <wp:effectExtent l="0" t="0" r="0" b="0"/>
                <wp:wrapSquare wrapText="bothSides"/>
                <wp:docPr id="465" name="文本框 46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6350">
                          <a:noFill/>
                        </a:ln>
                        <a:effectLst/>
                      </wps:spPr>
                      <wps:txbx>
                        <w:txbxContent>
                          <w:p w14:paraId="1855CB5F">
                            <w:pPr>
                              <w:spacing w:before="169" w:line="240" w:lineRule="auto"/>
                              <w:jc w:val="distribute"/>
                              <w:rPr>
                                <w:rFonts w:hint="eastAsia" w:ascii="黑体" w:hAnsi="黑体" w:eastAsia="黑体" w:cs="黑体"/>
                                <w:sz w:val="84"/>
                                <w:szCs w:val="84"/>
                                <w:lang w:val="en-US" w:eastAsia="zh-CN"/>
                              </w:rPr>
                            </w:pPr>
                            <w:r>
                              <w:rPr>
                                <w:rFonts w:hint="eastAsia" w:ascii="黑体" w:hAnsi="黑体" w:eastAsia="黑体" w:cs="黑体"/>
                                <w:spacing w:val="140"/>
                                <w:kern w:val="0"/>
                                <w:sz w:val="84"/>
                                <w:szCs w:val="84"/>
                                <w:fitText w:val="4200" w:id="1997610731"/>
                                <w:lang w:val="en-US" w:eastAsia="zh-CN"/>
                              </w:rPr>
                              <w:t>实施方</w:t>
                            </w:r>
                            <w:r>
                              <w:rPr>
                                <w:rFonts w:hint="eastAsia" w:ascii="黑体" w:hAnsi="黑体" w:eastAsia="黑体" w:cs="黑体"/>
                                <w:spacing w:val="0"/>
                                <w:kern w:val="0"/>
                                <w:sz w:val="84"/>
                                <w:szCs w:val="84"/>
                                <w:fitText w:val="4200" w:id="1997610731"/>
                                <w:lang w:val="en-US" w:eastAsia="zh-CN"/>
                              </w:rPr>
                              <w:t>案</w:t>
                            </w:r>
                          </w:p>
                        </w:txbxContent>
                      </wps:txbx>
                      <wps:bodyPr rot="0" spcFirstLastPara="0" vertOverflow="overflow" horzOverflow="overflow" vert="eaVert"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58.25pt;margin-top:5.9pt;height:144pt;width:144pt;mso-wrap-distance-bottom:0pt;mso-wrap-distance-left:9pt;mso-wrap-distance-right:9pt;mso-wrap-distance-top:0pt;mso-wrap-style:none;z-index:251659264;mso-width-relative:page;mso-height-relative:page;" fillcolor="#FFFFFF" filled="t" stroked="f" coordsize="21600,21600" o:gfxdata="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bzmO42QAAAAoB&#10;AAAPAAAAAAAAAAEAIAAAACIAAABkcnMvZG93bnJldi54bWxQSwECFAAUAAAACACHTuJAb03GZlMC&#10;AACiBAAADgAAAAAAAAABACAAAAAoAQAAZHJzL2Uyb0RvYy54bWxQSwUGAAAAAAYABgBZAQAA7QUA&#10;AAAA&#10;">
                <v:fill on="t" focussize="0,0"/>
                <v:stroke on="f" weight="0.5pt"/>
                <v:imagedata o:title=""/>
                <o:lock v:ext="edit" aspectratio="f"/>
                <v:textbox style="layout-flow:vertical-ideographic;mso-fit-shape-to-text:t;">
                  <w:txbxContent>
                    <w:p w14:paraId="1855CB5F">
                      <w:pPr>
                        <w:spacing w:before="169" w:line="240" w:lineRule="auto"/>
                        <w:jc w:val="distribute"/>
                        <w:rPr>
                          <w:rFonts w:hint="eastAsia" w:ascii="黑体" w:hAnsi="黑体" w:eastAsia="黑体" w:cs="黑体"/>
                          <w:sz w:val="84"/>
                          <w:szCs w:val="84"/>
                          <w:lang w:val="en-US" w:eastAsia="zh-CN"/>
                        </w:rPr>
                      </w:pPr>
                      <w:r>
                        <w:rPr>
                          <w:rFonts w:hint="eastAsia" w:ascii="黑体" w:hAnsi="黑体" w:eastAsia="黑体" w:cs="黑体"/>
                          <w:spacing w:val="140"/>
                          <w:kern w:val="0"/>
                          <w:sz w:val="84"/>
                          <w:szCs w:val="84"/>
                          <w:fitText w:val="4200" w:id="1997610731"/>
                          <w:lang w:val="en-US" w:eastAsia="zh-CN"/>
                        </w:rPr>
                        <w:t>实施方</w:t>
                      </w:r>
                      <w:r>
                        <w:rPr>
                          <w:rFonts w:hint="eastAsia" w:ascii="黑体" w:hAnsi="黑体" w:eastAsia="黑体" w:cs="黑体"/>
                          <w:spacing w:val="0"/>
                          <w:kern w:val="0"/>
                          <w:sz w:val="84"/>
                          <w:szCs w:val="84"/>
                          <w:fitText w:val="4200" w:id="1997610731"/>
                          <w:lang w:val="en-US" w:eastAsia="zh-CN"/>
                        </w:rPr>
                        <w:t>案</w:t>
                      </w:r>
                    </w:p>
                  </w:txbxContent>
                </v:textbox>
                <w10:wrap type="square"/>
              </v:shape>
            </w:pict>
          </mc:Fallback>
        </mc:AlternateContent>
      </w:r>
    </w:p>
    <w:p w14:paraId="4CA9E0C9">
      <w:pPr>
        <w:spacing w:line="256" w:lineRule="auto"/>
        <w:rPr>
          <w:rFonts w:ascii="Arial"/>
          <w:sz w:val="21"/>
        </w:rPr>
      </w:pPr>
    </w:p>
    <w:p w14:paraId="2D50A133">
      <w:pPr>
        <w:spacing w:line="256" w:lineRule="auto"/>
        <w:rPr>
          <w:rFonts w:ascii="Arial"/>
          <w:sz w:val="21"/>
        </w:rPr>
      </w:pPr>
    </w:p>
    <w:p w14:paraId="378A371A">
      <w:pPr>
        <w:spacing w:line="256" w:lineRule="auto"/>
        <w:rPr>
          <w:rFonts w:ascii="Arial"/>
          <w:sz w:val="21"/>
        </w:rPr>
      </w:pPr>
    </w:p>
    <w:p w14:paraId="4262E2E5">
      <w:pPr>
        <w:spacing w:line="256" w:lineRule="auto"/>
        <w:rPr>
          <w:rFonts w:ascii="Arial"/>
          <w:sz w:val="21"/>
        </w:rPr>
      </w:pPr>
    </w:p>
    <w:p w14:paraId="5B961F00">
      <w:pPr>
        <w:rPr>
          <w:rFonts w:ascii="Arial"/>
          <w:sz w:val="21"/>
        </w:rPr>
      </w:pPr>
    </w:p>
    <w:p w14:paraId="5636C2F5">
      <w:pPr>
        <w:rPr>
          <w:rFonts w:ascii="Arial"/>
          <w:sz w:val="21"/>
        </w:rPr>
      </w:pPr>
    </w:p>
    <w:p w14:paraId="3C69C0BF">
      <w:pPr>
        <w:rPr>
          <w:rFonts w:ascii="Arial"/>
          <w:sz w:val="21"/>
        </w:rPr>
      </w:pPr>
    </w:p>
    <w:p w14:paraId="66127E8E">
      <w:pPr>
        <w:rPr>
          <w:rFonts w:ascii="Arial"/>
          <w:sz w:val="21"/>
        </w:rPr>
      </w:pPr>
    </w:p>
    <w:p w14:paraId="4BFACCBD">
      <w:pPr>
        <w:rPr>
          <w:rFonts w:ascii="Arial"/>
          <w:sz w:val="21"/>
        </w:rPr>
      </w:pPr>
    </w:p>
    <w:p w14:paraId="66CE06AA">
      <w:pPr>
        <w:rPr>
          <w:rFonts w:ascii="Arial"/>
          <w:sz w:val="21"/>
        </w:rPr>
      </w:pPr>
    </w:p>
    <w:p w14:paraId="56B39113">
      <w:pPr>
        <w:rPr>
          <w:rFonts w:ascii="Arial"/>
          <w:sz w:val="21"/>
        </w:rPr>
      </w:pPr>
    </w:p>
    <w:p w14:paraId="62509065">
      <w:pPr>
        <w:rPr>
          <w:rFonts w:ascii="Arial"/>
          <w:sz w:val="21"/>
        </w:rPr>
      </w:pPr>
    </w:p>
    <w:p w14:paraId="63BD3F55">
      <w:pPr>
        <w:rPr>
          <w:rFonts w:ascii="Arial"/>
          <w:sz w:val="21"/>
        </w:rPr>
      </w:pPr>
    </w:p>
    <w:p w14:paraId="6DBB704B">
      <w:pPr>
        <w:rPr>
          <w:rFonts w:ascii="Arial"/>
          <w:sz w:val="21"/>
        </w:rPr>
      </w:pPr>
    </w:p>
    <w:p w14:paraId="7C65EBA1">
      <w:pPr>
        <w:rPr>
          <w:rFonts w:ascii="Arial"/>
          <w:sz w:val="21"/>
        </w:rPr>
      </w:pPr>
    </w:p>
    <w:p w14:paraId="26E88E45">
      <w:pPr>
        <w:rPr>
          <w:rFonts w:ascii="Arial"/>
          <w:sz w:val="21"/>
        </w:rPr>
      </w:pPr>
    </w:p>
    <w:p w14:paraId="766A537E">
      <w:pPr>
        <w:spacing w:line="241" w:lineRule="auto"/>
        <w:rPr>
          <w:rFonts w:ascii="Arial"/>
          <w:sz w:val="21"/>
        </w:rPr>
      </w:pPr>
    </w:p>
    <w:p w14:paraId="17C28D52">
      <w:pPr>
        <w:spacing w:line="241" w:lineRule="auto"/>
        <w:rPr>
          <w:rFonts w:ascii="Arial"/>
          <w:sz w:val="21"/>
        </w:rPr>
      </w:pPr>
    </w:p>
    <w:p w14:paraId="0FB9911D">
      <w:pPr>
        <w:spacing w:line="241" w:lineRule="auto"/>
        <w:rPr>
          <w:rFonts w:ascii="Arial"/>
          <w:sz w:val="21"/>
        </w:rPr>
      </w:pPr>
    </w:p>
    <w:p w14:paraId="656D8D89">
      <w:pPr>
        <w:spacing w:line="241" w:lineRule="auto"/>
        <w:rPr>
          <w:rFonts w:ascii="Arial"/>
          <w:sz w:val="21"/>
        </w:rPr>
      </w:pPr>
    </w:p>
    <w:p w14:paraId="477672D9">
      <w:pPr>
        <w:spacing w:line="241" w:lineRule="auto"/>
        <w:rPr>
          <w:rFonts w:ascii="Arial"/>
          <w:sz w:val="21"/>
        </w:rPr>
      </w:pPr>
    </w:p>
    <w:p w14:paraId="7A4D0B10">
      <w:pPr>
        <w:spacing w:line="241" w:lineRule="auto"/>
        <w:rPr>
          <w:rFonts w:ascii="Arial"/>
          <w:sz w:val="21"/>
        </w:rPr>
      </w:pPr>
    </w:p>
    <w:p w14:paraId="12EE2755">
      <w:pPr>
        <w:spacing w:line="241" w:lineRule="auto"/>
        <w:rPr>
          <w:rFonts w:ascii="Arial"/>
          <w:sz w:val="21"/>
        </w:rPr>
      </w:pPr>
    </w:p>
    <w:p w14:paraId="412B45EF">
      <w:pPr>
        <w:spacing w:line="241" w:lineRule="auto"/>
        <w:rPr>
          <w:rFonts w:ascii="Arial"/>
          <w:sz w:val="21"/>
        </w:rPr>
      </w:pPr>
    </w:p>
    <w:p w14:paraId="186A4A45">
      <w:pPr>
        <w:spacing w:before="101" w:line="227" w:lineRule="auto"/>
        <w:ind w:left="0" w:leftChars="0" w:firstLine="718" w:firstLineChars="219"/>
        <w:rPr>
          <w:rFonts w:hint="default" w:ascii="黑体" w:hAnsi="黑体" w:eastAsia="黑体" w:cs="黑体"/>
          <w:sz w:val="31"/>
          <w:szCs w:val="31"/>
          <w:lang w:val="en-US"/>
        </w:rPr>
      </w:pPr>
      <w:r>
        <w:rPr>
          <w:rFonts w:ascii="黑体" w:hAnsi="黑体" w:eastAsia="黑体" w:cs="黑体"/>
          <w:spacing w:val="9"/>
          <w:sz w:val="31"/>
          <w:szCs w:val="31"/>
        </w:rPr>
        <w:t>建设单位</w:t>
      </w:r>
      <w:r>
        <w:rPr>
          <w:rFonts w:ascii="黑体" w:hAnsi="黑体" w:eastAsia="黑体" w:cs="黑体"/>
          <w:spacing w:val="11"/>
          <w:sz w:val="31"/>
          <w:szCs w:val="31"/>
        </w:rPr>
        <w:t>：</w:t>
      </w:r>
      <w:r>
        <w:rPr>
          <w:rFonts w:hint="default" w:ascii="黑体" w:hAnsi="黑体" w:eastAsia="黑体" w:cs="黑体"/>
          <w:spacing w:val="9"/>
          <w:sz w:val="31"/>
          <w:szCs w:val="31"/>
          <w:lang w:val="en-US"/>
        </w:rPr>
        <w:t>深圳市规划和自然资源局</w:t>
      </w:r>
    </w:p>
    <w:p w14:paraId="5734E76C">
      <w:pPr>
        <w:spacing w:line="258" w:lineRule="auto"/>
        <w:ind w:left="0" w:leftChars="0" w:firstLine="459" w:firstLineChars="219"/>
        <w:rPr>
          <w:rFonts w:ascii="Arial"/>
          <w:sz w:val="21"/>
        </w:rPr>
      </w:pPr>
    </w:p>
    <w:p w14:paraId="6F1E8D8F">
      <w:pPr>
        <w:spacing w:before="101" w:line="226" w:lineRule="auto"/>
        <w:ind w:left="0" w:leftChars="0" w:firstLine="722" w:firstLineChars="219"/>
        <w:rPr>
          <w:rFonts w:hint="default" w:ascii="黑体" w:hAnsi="黑体" w:eastAsia="黑体" w:cs="黑体"/>
          <w:sz w:val="31"/>
          <w:szCs w:val="31"/>
          <w:lang w:val="en-US"/>
        </w:rPr>
      </w:pPr>
      <w:r>
        <w:rPr>
          <w:rFonts w:ascii="黑体" w:hAnsi="黑体" w:eastAsia="黑体" w:cs="黑体"/>
          <w:spacing w:val="10"/>
          <w:sz w:val="31"/>
          <w:szCs w:val="31"/>
        </w:rPr>
        <w:t>编制单位：</w:t>
      </w:r>
      <w:r>
        <w:rPr>
          <w:rFonts w:hint="default" w:ascii="黑体" w:hAnsi="黑体" w:eastAsia="黑体" w:cs="黑体"/>
          <w:spacing w:val="10"/>
          <w:sz w:val="31"/>
          <w:szCs w:val="31"/>
          <w:lang w:val="en-US"/>
        </w:rPr>
        <w:t>深圳市城市规划设计研究院股份有限公司</w:t>
      </w:r>
    </w:p>
    <w:p w14:paraId="6C67A493">
      <w:pPr>
        <w:spacing w:line="259" w:lineRule="auto"/>
        <w:ind w:left="0" w:leftChars="0" w:firstLine="459" w:firstLineChars="219"/>
        <w:rPr>
          <w:rFonts w:ascii="Arial"/>
          <w:sz w:val="21"/>
        </w:rPr>
      </w:pPr>
    </w:p>
    <w:p w14:paraId="0BDAD5B6">
      <w:pPr>
        <w:spacing w:before="101" w:line="226" w:lineRule="auto"/>
        <w:ind w:left="0" w:leftChars="0" w:firstLine="718" w:firstLineChars="219"/>
        <w:rPr>
          <w:rFonts w:ascii="黑体" w:hAnsi="黑体" w:eastAsia="黑体" w:cs="黑体"/>
          <w:sz w:val="31"/>
          <w:szCs w:val="31"/>
        </w:rPr>
      </w:pPr>
      <w:r>
        <w:rPr>
          <w:rFonts w:ascii="黑体" w:hAnsi="黑体" w:eastAsia="黑体" w:cs="黑体"/>
          <w:spacing w:val="9"/>
          <w:sz w:val="31"/>
          <w:szCs w:val="31"/>
        </w:rPr>
        <w:t>编制日期</w:t>
      </w:r>
      <w:r>
        <w:rPr>
          <w:rFonts w:ascii="黑体" w:hAnsi="黑体" w:eastAsia="黑体" w:cs="黑体"/>
          <w:spacing w:val="11"/>
          <w:sz w:val="31"/>
          <w:szCs w:val="31"/>
        </w:rPr>
        <w:t>：</w:t>
      </w:r>
      <w:r>
        <w:rPr>
          <w:rFonts w:ascii="黑体" w:hAnsi="黑体" w:eastAsia="黑体" w:cs="黑体"/>
          <w:spacing w:val="9"/>
          <w:sz w:val="31"/>
          <w:szCs w:val="31"/>
        </w:rPr>
        <w:t>二零</w:t>
      </w:r>
      <w:r>
        <w:rPr>
          <w:rFonts w:hint="eastAsia" w:ascii="黑体" w:hAnsi="黑体" w:eastAsia="黑体" w:cs="黑体"/>
          <w:spacing w:val="9"/>
          <w:sz w:val="31"/>
          <w:szCs w:val="31"/>
          <w:lang w:val="en-US" w:eastAsia="zh-CN"/>
        </w:rPr>
        <w:t>二六</w:t>
      </w:r>
      <w:r>
        <w:rPr>
          <w:rFonts w:ascii="黑体" w:hAnsi="黑体" w:eastAsia="黑体" w:cs="黑体"/>
          <w:spacing w:val="9"/>
          <w:sz w:val="31"/>
          <w:szCs w:val="31"/>
        </w:rPr>
        <w:t>年</w:t>
      </w:r>
      <w:r>
        <w:rPr>
          <w:rFonts w:hint="eastAsia" w:ascii="黑体" w:hAnsi="黑体" w:eastAsia="黑体" w:cs="黑体"/>
          <w:spacing w:val="9"/>
          <w:sz w:val="31"/>
          <w:szCs w:val="31"/>
          <w:lang w:val="en-US" w:eastAsia="zh-CN"/>
        </w:rPr>
        <w:t>六</w:t>
      </w:r>
      <w:r>
        <w:rPr>
          <w:rFonts w:ascii="黑体" w:hAnsi="黑体" w:eastAsia="黑体" w:cs="黑体"/>
          <w:spacing w:val="9"/>
          <w:sz w:val="31"/>
          <w:szCs w:val="31"/>
        </w:rPr>
        <w:t>月</w:t>
      </w:r>
    </w:p>
    <w:p w14:paraId="00448022">
      <w:pPr>
        <w:sectPr>
          <w:pgSz w:w="11906" w:h="16839"/>
          <w:pgMar w:top="1431" w:right="1785" w:bottom="0" w:left="1785" w:header="0" w:footer="0" w:gutter="0"/>
          <w:cols w:space="720" w:num="1"/>
        </w:sectPr>
      </w:pPr>
    </w:p>
    <w:p w14:paraId="598B240E">
      <w:pPr>
        <w:spacing w:before="0" w:beforeLines="0" w:after="0" w:afterLines="0" w:line="240" w:lineRule="auto"/>
        <w:ind w:left="0" w:leftChars="0" w:right="0" w:rightChars="0" w:firstLine="0" w:firstLineChars="0"/>
        <w:jc w:val="center"/>
        <w:rPr>
          <w:rFonts w:hint="eastAsia" w:ascii="微软雅黑" w:hAnsi="微软雅黑" w:eastAsia="微软雅黑" w:cs="微软雅黑"/>
          <w:b/>
          <w:bCs/>
          <w:sz w:val="36"/>
          <w:szCs w:val="32"/>
        </w:rPr>
      </w:pPr>
      <w:r>
        <w:rPr>
          <w:rFonts w:hint="eastAsia" w:ascii="微软雅黑" w:hAnsi="微软雅黑" w:eastAsia="微软雅黑" w:cs="微软雅黑"/>
          <w:b/>
          <w:bCs/>
          <w:sz w:val="28"/>
          <w:szCs w:val="32"/>
        </w:rPr>
        <w:t>目录</w:t>
      </w:r>
    </w:p>
    <w:p w14:paraId="20D9C37B">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TOC \o "1-2" \h \u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_Toc1547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一、项目概况</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_Toc1547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1B4E5B36">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_Toc2612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（一）项目名称</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_Toc2612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175A6D03">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_Toc22842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（二）项目背景</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_Toc22842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0ED79C08">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_Toc19607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（三）实施期限</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_Toc19607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4A956A9C">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_Toc14432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二、项目目标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_Toc14432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04DD5B35">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_Toc11733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（一）总体目标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_Toc11733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AF6AF14">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_Toc17334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（二）具体目标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_Toc17334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C591E9C">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_Toc32071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三、实施依据与约束要求</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_Toc32071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72EDB6E5">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_Toc1319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（一）政策与任务依据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_Toc1319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2B81EA22">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_Toc7481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（二）合同成果要求</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_Toc7481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18F9558F">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_Toc7581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（三）质量与合规约束</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_Toc7581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0BF56443">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_Toc31638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四、总体技术路线</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_Toc31638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FA061DD">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_Toc22896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五、主要实施内容</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_Toc22896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01323098">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_Toc22786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highlight w:val="yellow"/>
        </w:rPr>
        <w:t>（一）专题一：需求分析与体系设计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_Toc22786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2999067">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_Toc19869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highlight w:val="yellow"/>
        </w:rPr>
        <w:t>（二）专题二：公共数据服务产品研发</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_Toc19869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74A15238">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_Toc6603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highlight w:val="yellow"/>
        </w:rPr>
        <w:t>（三）专题三：产品试点与应用验证</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_Toc6603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52F7AD0">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_Toc27506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六、实施步骤与进度安排</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_Toc27506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69C8ECA">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_Toc30550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第一阶段：前期准备与实施方案编制（1个月）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_Toc30550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7576DE89">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_Toc9933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第二阶段：需求分析与体系设计（2至3个月）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_Toc9933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7E38684">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_Toc24048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第三阶段：公共数据服务产品研发（4至6个月）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_Toc24048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7EB5110C">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_Toc27426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第四阶段：产品试点与应用验证（7至9个月）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_Toc27426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816E5BD">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_Toc25130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第五阶段：成果完善与结题验收（10至12个月）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_Toc25130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55AAA1B">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_Toc15844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七、项目组织与人员安排</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_Toc15844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9BC74CA">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_Toc21043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（一）组织架构</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_Toc21043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46F5255">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_Toc8453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（二）工作机制</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_Toc8453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24C0FD06">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_Toc19137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八、质量控制方案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_Toc19137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94FD1B2">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_Toc7849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（一）质量控制目标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_Toc7849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D168B66">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_Toc13452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（二）质量控制措施</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_Toc13452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FB3BC58">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_Toc28482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九、数据安全与保密管理</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_Toc28482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7F2DEFA2">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_Toc30319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十、成果交付与验收安排</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_Toc30319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E7E9256">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_Toc30122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（一）交付原则</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_Toc30122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0B0710B9">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_Toc18848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（二）验收准备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_Toc18848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6F927585">
      <w:pPr>
        <w:pStyle w:val="9"/>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_Toc26875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（三）验收标准</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_Toc26875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AB182DA">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_Toc18595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十一、风险识别与应对措施</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_Toc18595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26BCEA82">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_Toc561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十二、后续服务安排</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_Toc561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FCB6DC0">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_Toc22246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十三、需甲方协调事项</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_Toc22246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52E7A8ED">
      <w:pPr>
        <w:pStyle w:val="8"/>
        <w:tabs>
          <w:tab w:val="right" w:leader="dot" w:pos="9026"/>
        </w:tabs>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\l _Toc29661 </w:instrText>
      </w:r>
      <w:r>
        <w:rPr>
          <w:rFonts w:hint="eastAsia" w:ascii="微软雅黑" w:hAnsi="微软雅黑" w:eastAsia="微软雅黑" w:cs="微软雅黑"/>
          <w:sz w:val="21"/>
          <w:szCs w:val="21"/>
          <w:lang w:val="en-US" w:eastAsia="zh-CN"/>
        </w:rPr>
        <w:fldChar w:fldCharType="separate"/>
      </w:r>
      <w:r>
        <w:rPr>
          <w:rFonts w:hint="eastAsia" w:ascii="微软雅黑" w:hAnsi="微软雅黑" w:eastAsia="微软雅黑" w:cs="微软雅黑"/>
          <w:sz w:val="21"/>
          <w:szCs w:val="21"/>
        </w:rPr>
        <w:t>十四、结语</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_Toc29661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lang w:val="en-US" w:eastAsia="zh-CN"/>
        </w:rPr>
        <w:fldChar w:fldCharType="end"/>
      </w:r>
    </w:p>
    <w:p w14:paraId="3FA94F4A">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lang w:val="en-US" w:eastAsia="zh-CN"/>
        </w:rPr>
        <w:sectPr>
          <w:pgSz w:w="11906" w:h="16838"/>
          <w:pgMar w:top="1200" w:right="1440" w:bottom="1440" w:left="1440" w:header="720" w:footer="720" w:gutter="0"/>
          <w:cols w:space="720" w:num="1"/>
        </w:sectPr>
      </w:pPr>
      <w:r>
        <w:rPr>
          <w:rFonts w:hint="eastAsia" w:ascii="微软雅黑" w:hAnsi="微软雅黑" w:eastAsia="微软雅黑" w:cs="微软雅黑"/>
          <w:sz w:val="21"/>
          <w:szCs w:val="21"/>
          <w:lang w:val="en-US" w:eastAsia="zh-CN"/>
        </w:rPr>
        <w:fldChar w:fldCharType="end"/>
      </w:r>
    </w:p>
    <w:p w14:paraId="3C69A125">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pPr>
      <w:bookmarkStart w:id="37" w:name="_GoBack"/>
      <w:bookmarkEnd w:id="37"/>
      <w:bookmarkStart w:id="0" w:name="_Toc1547"/>
      <w:r>
        <w:t>一、项目概况</w:t>
      </w:r>
      <w:bookmarkEnd w:id="0"/>
    </w:p>
    <w:p w14:paraId="4B2A4298">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pPr>
      <w:bookmarkStart w:id="1" w:name="_Toc2612"/>
      <w:r>
        <w:t>（一）项目名称</w:t>
      </w:r>
      <w:bookmarkEnd w:id="1"/>
    </w:p>
    <w:p w14:paraId="42BCBE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规划和自然资源公共数据产品建设。</w:t>
      </w:r>
    </w:p>
    <w:p w14:paraId="71C7AB8C">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 w:name="_Toc22842"/>
      <w:r>
        <w:rPr>
          <w:rFonts w:asciiTheme="minorHAnsi" w:hAnsiTheme="minorHAnsi" w:cstheme="minorBidi"/>
        </w:rPr>
        <w:t>（二）项目背景</w:t>
      </w:r>
      <w:bookmarkEnd w:id="2"/>
    </w:p>
    <w:p w14:paraId="5286D8A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深圳市规划和自然资源局统一行使全民所有自然资源资产所有者职责以及统一行使所有国土空间用途管制和生态保护修复职责，长期积累了规划、土地、建筑、基础地理、海洋、自然资源环境等多类型国土空间数据资源。随着数据要素市场化配置改革、数字政府建设、智慧城市发展和城市治理精细化要求持续提升，规资公共数据从“资源管理资产”向“公共服务产品”和“数据要素产品”转化的需求日益迫切。</w:t>
      </w:r>
    </w:p>
    <w:p w14:paraId="5A8D2F5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本项目围绕国家关于数据要素体系建设、自然资源数字化治理能力提升、深圳综合改革试点和深圳市数据资产全过程管理试点等工作要求，面向政府治理、产业发展、公众服务和市场化应用需求，系统开展规划和自然资源公共数据产品需求分析、体系设计、数据服务产品研发、试点应用与成效验证，形成可落地、可复制、可推广的规资公共数据产品建设路径。</w:t>
      </w:r>
    </w:p>
    <w:p w14:paraId="54B454D8">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3" w:name="_Toc19607"/>
      <w:r>
        <w:rPr>
          <w:rFonts w:asciiTheme="minorHAnsi" w:hAnsiTheme="minorHAnsi" w:cstheme="minorBidi"/>
        </w:rPr>
        <w:t>（三）实施期限</w:t>
      </w:r>
      <w:bookmarkEnd w:id="3"/>
    </w:p>
    <w:p w14:paraId="16A4BB2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本项目服务期限为合同签订之日起12个月。实施进度采用“合同签订日T”为起算点</w:t>
      </w:r>
      <w:r>
        <w:rPr>
          <w:rFonts w:asciiTheme="minorHAnsi" w:hAnsiTheme="minorHAnsi" w:cstheme="minorBidi"/>
        </w:rPr>
        <w:t>进行管控，关键节点如下：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75"/>
        <w:gridCol w:w="1584"/>
        <w:gridCol w:w="5583"/>
      </w:tblGrid>
      <w:tr w14:paraId="20701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7"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5EAE1B46">
            <w:pPr>
              <w:keepNext w:val="0"/>
              <w:keepLines w:val="0"/>
              <w:widowControl/>
              <w:suppressLineNumbers w:val="0"/>
              <w:jc w:val="center"/>
              <w:textAlignment w:val="top"/>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71A3EA43">
            <w:pPr>
              <w:keepNext w:val="0"/>
              <w:keepLines w:val="0"/>
              <w:widowControl/>
              <w:suppressLineNumbers w:val="0"/>
              <w:jc w:val="center"/>
              <w:textAlignment w:val="top"/>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时间安排</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270519E8">
            <w:pPr>
              <w:keepNext w:val="0"/>
              <w:keepLines w:val="0"/>
              <w:widowControl/>
              <w:suppressLineNumbers w:val="0"/>
              <w:jc w:val="center"/>
              <w:textAlignment w:val="top"/>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主要成果</w:t>
            </w:r>
          </w:p>
        </w:tc>
      </w:tr>
      <w:tr w14:paraId="1F18B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7797E7B0">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前期准备与实施方案阶段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570F2DF8">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T+1个月内</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48CD7E46">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《规划和自然资源公共数据产品建设项目实施方案》</w:t>
            </w:r>
          </w:p>
        </w:tc>
      </w:tr>
      <w:tr w14:paraId="08C3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12477EC0">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需求分析与体系设计阶段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6EAAD007">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T+2至T+3个月</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6FA3E511">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需求调研成果、产品体系框架、数据产品目录初稿</w:t>
            </w:r>
          </w:p>
        </w:tc>
      </w:tr>
      <w:tr w14:paraId="50CDA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6392D0EF">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数据服务产品研发阶段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0DBFB414">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T+4至T+6个月</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58F23EAD">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数据产品算法库、标准化接口方案、原型产品</w:t>
            </w:r>
          </w:p>
        </w:tc>
      </w:tr>
      <w:tr w14:paraId="11D1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4F7C2D4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产品试点与应用验证阶段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01E22AF2">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T+7至T+9个月</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458F001A">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不少于4个数据服务产品试点成果、用户反馈与评估记录</w:t>
            </w:r>
          </w:p>
        </w:tc>
      </w:tr>
      <w:tr w14:paraId="6C202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vAlign w:val="top"/>
          </w:tcPr>
          <w:p w14:paraId="1B080179">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成果完善与结题验收阶段</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00E4140C">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T+10至T+12个月</w:t>
            </w:r>
          </w:p>
        </w:tc>
        <w:tc>
          <w:tcPr>
            <w:tcW w:w="0" w:type="auto"/>
            <w:tcBorders>
              <w:top w:val="single" w:color="000000" w:sz="4" w:space="0"/>
              <w:left w:val="single" w:color="000000" w:sz="4" w:space="0"/>
              <w:bottom w:val="single" w:color="000000" w:sz="4" w:space="0"/>
              <w:right w:val="single" w:color="000000" w:sz="4" w:space="0"/>
            </w:tcBorders>
            <w:shd w:val="clear"/>
            <w:vAlign w:val="top"/>
          </w:tcPr>
          <w:p w14:paraId="192C2F45">
            <w:pPr>
              <w:keepNext w:val="0"/>
              <w:keepLines w:val="0"/>
              <w:widowControl/>
              <w:suppressLineNumbers w:val="0"/>
              <w:jc w:val="left"/>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bdr w:val="none" w:color="auto" w:sz="0" w:space="0"/>
                <w:lang w:val="en-US" w:eastAsia="zh-CN" w:bidi="ar"/>
              </w:rPr>
              <w:t>体系设计报告、试点与应用验证报告、产品说明文件、最终成果汇交材料</w:t>
            </w:r>
          </w:p>
        </w:tc>
      </w:tr>
    </w:tbl>
    <w:p w14:paraId="521E983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如合同签订时间、甲方资料提供时间、审定反馈时间或财政资金安排对阶段节点产生影响，按照合同约定履行顺延、确认和书面沟通程序。</w:t>
      </w:r>
    </w:p>
    <w:p w14:paraId="24350542">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4" w:name="_Toc14432"/>
      <w:r>
        <w:rPr>
          <w:rFonts w:asciiTheme="minorHAnsi" w:hAnsiTheme="minorHAnsi" w:cstheme="minorBidi"/>
        </w:rPr>
        <w:t>二、项目目标</w:t>
      </w:r>
      <w:bookmarkEnd w:id="4"/>
    </w:p>
    <w:p w14:paraId="6115D038"/>
    <w:p w14:paraId="30E7D9D1">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5" w:name="_Toc11733"/>
      <w:r>
        <w:rPr>
          <w:rFonts w:asciiTheme="minorHAnsi" w:hAnsiTheme="minorHAnsi" w:cstheme="minorBidi"/>
        </w:rPr>
        <w:t>（一）总体目标</w:t>
      </w:r>
      <w:bookmarkEnd w:id="5"/>
    </w:p>
    <w:p w14:paraId="137B55B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以深圳规划和自然资源公共数据资源为基础，以公共数据产品化、服务化、资产化和场景化应用为主线，构建“基础数据层-主题数据层-应用产品层”三级公共数据产品体系，研发一批面向高价值应用场景的数据服务产品，形成不少于4个可试点、可发布、可评估的数据产品成果，支撑深圳规资公共数据价值释放和数据要素流通探索。</w:t>
      </w:r>
    </w:p>
    <w:p w14:paraId="4767A9CD">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6" w:name="_Toc17334"/>
      <w:r>
        <w:rPr>
          <w:rFonts w:asciiTheme="minorHAnsi" w:hAnsiTheme="minorHAnsi" w:cstheme="minorBidi"/>
        </w:rPr>
        <w:t>（二）具体目标</w:t>
      </w:r>
      <w:bookmarkEnd w:id="6"/>
    </w:p>
    <w:p w14:paraId="049E8DC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建立需求导向的规资公共数据产品建设机制。面向政府部门、企业市场、科研机构和公众服务需求开展系统调研，形成需求清单、场景清单、数据能力清单和产品机会清单。</w:t>
      </w:r>
    </w:p>
    <w:p w14:paraId="5F08806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构建科学、灵活、可扩展的公共数据产品体系。明确数据产品分层架构、分类方法、分级原则、产品形态、产品目录和流转逻辑。</w:t>
      </w:r>
    </w:p>
    <w:p w14:paraId="267BFD7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研发公共数据服务产品。围绕重点应用领域提炼算法模型和服务接口，形成数据集、数据API、本地化部署服务、分析报告、可视化仪表盘等多形态产品。</w:t>
      </w:r>
    </w:p>
    <w:p w14:paraId="451EF02C">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完成不少于4个数据产品试点。</w:t>
      </w:r>
      <w:commentRangeStart w:id="0"/>
      <w:r>
        <w:rPr>
          <w:rFonts w:asciiTheme="minorHAnsi" w:hAnsiTheme="minorHAnsi" w:cstheme="minorBidi"/>
          <w:highlight w:val="yellow"/>
        </w:rPr>
        <w:t>优先围绕公共空间运营、低效空间治理、生态安全应急、低空经济发展等领域</w:t>
      </w:r>
      <w:commentRangeEnd w:id="0"/>
      <w:r>
        <w:commentReference w:id="0"/>
      </w:r>
      <w:r>
        <w:rPr>
          <w:rFonts w:asciiTheme="minorHAnsi" w:hAnsiTheme="minorHAnsi" w:cstheme="minorBidi"/>
        </w:rPr>
        <w:t>，完成产品设计、数据处理、模型构建、服务发布、试用反馈和量化评估。</w:t>
      </w:r>
    </w:p>
    <w:p w14:paraId="2B30ECC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形成成果汇交与验收材料。按照合同及甲方数字化交付管理要求，提交报告、服务产品、产品说明文件、数据标准说明、接口说明、试点验证材料和验收支撑材料。</w:t>
      </w:r>
    </w:p>
    <w:p w14:paraId="20802E6F">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7" w:name="_Toc32071"/>
      <w:r>
        <w:rPr>
          <w:rFonts w:asciiTheme="minorHAnsi" w:hAnsiTheme="minorHAnsi" w:cstheme="minorBidi"/>
        </w:rPr>
        <w:t>三、实施依据与约束要求</w:t>
      </w:r>
      <w:bookmarkEnd w:id="7"/>
    </w:p>
    <w:p w14:paraId="26D27C66">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8" w:name="_Toc1319"/>
      <w:r>
        <w:rPr>
          <w:rFonts w:asciiTheme="minorHAnsi" w:hAnsiTheme="minorHAnsi" w:cstheme="minorBidi"/>
        </w:rPr>
        <w:t>（一）政策与任务依据</w:t>
      </w:r>
      <w:bookmarkEnd w:id="8"/>
    </w:p>
    <w:p w14:paraId="71EB523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本项目实施主要依据包括但不限于：</w:t>
      </w:r>
    </w:p>
    <w:p w14:paraId="71F54090">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《中共中央办公厅国务院办公厅关于深入推进深圳综合改革试点深化改革创新扩大开放的意见》。</w:t>
      </w:r>
    </w:p>
    <w:p w14:paraId="7F98B589">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自然资源部《数据要素体系建设专项行动计划》等自然资源数字化治理相关工作要求。</w:t>
      </w:r>
    </w:p>
    <w:p w14:paraId="0790687C">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深圳市数据资产全过程管理试点工作要求。</w:t>
      </w:r>
    </w:p>
    <w:p w14:paraId="4FEDA0FB">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深圳市规划和自然资源局关于项目数字化交付管理、数据安全管理、成果汇交和专题会验收的相关要求。</w:t>
      </w:r>
    </w:p>
    <w:p w14:paraId="7DD71FD6">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项目计划书、招投标文件、合同及甲方审定意见。</w:t>
      </w:r>
    </w:p>
    <w:p w14:paraId="3E1C1D0D">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9" w:name="_Toc7481"/>
      <w:r>
        <w:rPr>
          <w:rFonts w:asciiTheme="minorHAnsi" w:hAnsiTheme="minorHAnsi" w:cstheme="minorBidi"/>
        </w:rPr>
        <w:t>（二）合同成果要求</w:t>
      </w:r>
      <w:bookmarkEnd w:id="9"/>
    </w:p>
    <w:p w14:paraId="2013B79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本项目最终成果包括：</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84"/>
        <w:gridCol w:w="2325"/>
        <w:gridCol w:w="5070"/>
        <w:gridCol w:w="1163"/>
      </w:tblGrid>
      <w:tr w14:paraId="1096B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6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EC11FB">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序号</w:t>
            </w:r>
          </w:p>
        </w:tc>
        <w:tc>
          <w:tcPr>
            <w:tcW w:w="23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8719A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成果名称</w:t>
            </w:r>
          </w:p>
        </w:tc>
        <w:tc>
          <w:tcPr>
            <w:tcW w:w="50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F5E3AB">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形式要求</w:t>
            </w:r>
          </w:p>
        </w:tc>
        <w:tc>
          <w:tcPr>
            <w:tcW w:w="1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4687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数量</w:t>
            </w:r>
          </w:p>
        </w:tc>
      </w:tr>
      <w:tr w14:paraId="3C33B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6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07C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1</w:t>
            </w:r>
          </w:p>
        </w:tc>
        <w:tc>
          <w:tcPr>
            <w:tcW w:w="23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57F64">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规划和自然资源公共数据产品体系设计报告</w:t>
            </w:r>
          </w:p>
        </w:tc>
        <w:tc>
          <w:tcPr>
            <w:tcW w:w="50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D11B1B">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Word/WPS、PDF，电子及纸质</w:t>
            </w:r>
          </w:p>
        </w:tc>
        <w:tc>
          <w:tcPr>
            <w:tcW w:w="1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0568B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1套</w:t>
            </w:r>
          </w:p>
        </w:tc>
      </w:tr>
      <w:tr w14:paraId="3F808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5" w:hRule="atLeast"/>
        </w:trPr>
        <w:tc>
          <w:tcPr>
            <w:tcW w:w="6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F52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2</w:t>
            </w:r>
          </w:p>
        </w:tc>
        <w:tc>
          <w:tcPr>
            <w:tcW w:w="23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495FB2">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不少于4个公共数据服务产品成果</w:t>
            </w:r>
          </w:p>
        </w:tc>
        <w:tc>
          <w:tcPr>
            <w:tcW w:w="50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D3F316">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本地化部署服务或数据 API，采用 2000 国家大地坐标系，电子成果</w:t>
            </w:r>
          </w:p>
        </w:tc>
        <w:tc>
          <w:tcPr>
            <w:tcW w:w="1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93F11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不少于4个</w:t>
            </w:r>
          </w:p>
        </w:tc>
      </w:tr>
      <w:tr w14:paraId="066E0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20" w:hRule="atLeast"/>
        </w:trPr>
        <w:tc>
          <w:tcPr>
            <w:tcW w:w="6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E8BFE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3</w:t>
            </w:r>
          </w:p>
        </w:tc>
        <w:tc>
          <w:tcPr>
            <w:tcW w:w="23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41B673">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规划和自然资源公共数据产品试点与应用验证报告</w:t>
            </w:r>
          </w:p>
        </w:tc>
        <w:tc>
          <w:tcPr>
            <w:tcW w:w="50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EDF904">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Word/WPS、PDF，电子及纸质</w:t>
            </w:r>
          </w:p>
        </w:tc>
        <w:tc>
          <w:tcPr>
            <w:tcW w:w="1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8F3F5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1套</w:t>
            </w:r>
          </w:p>
        </w:tc>
      </w:tr>
      <w:tr w14:paraId="4F59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5" w:hRule="atLeast"/>
        </w:trPr>
        <w:tc>
          <w:tcPr>
            <w:tcW w:w="6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C924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4</w:t>
            </w:r>
          </w:p>
        </w:tc>
        <w:tc>
          <w:tcPr>
            <w:tcW w:w="23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A39696">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产品说明文件</w:t>
            </w:r>
          </w:p>
        </w:tc>
        <w:tc>
          <w:tcPr>
            <w:tcW w:w="50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59D1F">
            <w:pPr>
              <w:keepNext w:val="0"/>
              <w:keepLines w:val="0"/>
              <w:widowControl/>
              <w:suppressLineNumbers w:val="0"/>
              <w:jc w:val="left"/>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Word/WPS，含依据或参考的数据标准、数据命名规则、字段类型、字段长度、字段精度、接口说明、更新机制等</w:t>
            </w:r>
          </w:p>
        </w:tc>
        <w:tc>
          <w:tcPr>
            <w:tcW w:w="1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36B61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1套</w:t>
            </w:r>
          </w:p>
        </w:tc>
      </w:tr>
    </w:tbl>
    <w:p w14:paraId="30A6F5EA">
      <w:pPr>
        <w:keepNext w:val="0"/>
        <w:keepLines w:val="0"/>
        <w:pageBreakBefore w:val="0"/>
        <w:widowControl/>
        <w:kinsoku/>
        <w:wordWrap/>
        <w:overflowPunct/>
        <w:topLinePunct w:val="0"/>
        <w:autoSpaceDE/>
        <w:autoSpaceDN/>
        <w:bidi w:val="0"/>
        <w:adjustRightInd/>
        <w:snapToGrid/>
        <w:spacing w:line="360" w:lineRule="auto"/>
        <w:textAlignment w:val="auto"/>
        <w:rPr>
          <w:rFonts w:asciiTheme="minorHAnsi" w:hAnsiTheme="minorHAnsi" w:cstheme="minorBidi"/>
        </w:rPr>
      </w:pPr>
    </w:p>
    <w:p w14:paraId="5B8B7040">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10" w:name="_Toc7581"/>
      <w:r>
        <w:rPr>
          <w:rFonts w:asciiTheme="minorHAnsi" w:hAnsiTheme="minorHAnsi" w:cstheme="minorBidi"/>
        </w:rPr>
        <w:t>（三）质量与合规约束</w:t>
      </w:r>
      <w:bookmarkEnd w:id="10"/>
    </w:p>
    <w:p w14:paraId="16803389">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成果须符合国家、行业和深圳市规划和自然资源局相关标准规范，满足合同约定的工作内容、技术路线、质量标准和验收要求。</w:t>
      </w:r>
    </w:p>
    <w:p w14:paraId="61F70DAE">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涉及空间数据的成果统一采用2000国家大地坐标系，数据命名、字段类型、字段长度、字段精度、元数据和质量检查规则应在产品说明文件中明确。</w:t>
      </w:r>
    </w:p>
    <w:p w14:paraId="3D894C3B">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项目数据、阶段成果、中间成果和最终成果归属、使用、复制、导出、公开、转让和对外披露均按照合同及甲方管理要求执行。</w:t>
      </w:r>
    </w:p>
    <w:p w14:paraId="798B712A">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乙方不得将甲方资料、基础属性数据、项目成果用于本项目以外用途；不得擅自对第三方公开、转让或扩散。</w:t>
      </w:r>
    </w:p>
    <w:p w14:paraId="0E223FA7">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项目成果通过最终验收后1年内，乙方持续提供必要解释、咨询和服务支持。</w:t>
      </w:r>
    </w:p>
    <w:p w14:paraId="3DD43C47">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11" w:name="_Toc31638"/>
      <w:r>
        <w:rPr>
          <w:rFonts w:asciiTheme="minorHAnsi" w:hAnsiTheme="minorHAnsi" w:cstheme="minorBidi"/>
        </w:rPr>
        <w:t>四、总体技术路线</w:t>
      </w:r>
      <w:bookmarkEnd w:id="11"/>
    </w:p>
    <w:p w14:paraId="2568FAC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项目采用“需求牵引、体系统筹、产品研发、试点验证、评估迭代、成果固化”的技术路线。</w:t>
      </w:r>
    </w:p>
    <w:p w14:paraId="0A70C2A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需求牵引：通过访谈、问卷、座谈、案例研究、平台数据需求梳理等方式，识别政府治理、产业服务、公众应用和数据要素流通场景。</w:t>
      </w:r>
    </w:p>
    <w:p w14:paraId="23067B1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体系统筹：构建“基础数据层-主题数据层-应用产品层”三级架构，形成分类分级、目录组织、产品形态、数据流转、治理规则和服务模式。</w:t>
      </w:r>
    </w:p>
    <w:p w14:paraId="7CF5099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产品研发：围绕重点领域，开展数据治理、指标构建、模型算法设计、接口封装、服务能力封装和原型验证。</w:t>
      </w:r>
    </w:p>
    <w:p w14:paraId="670C679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试点验证：选取不少于4个高价值场景，完成数据产品开发、发布试用、用户反馈收集和量化评估。</w:t>
      </w:r>
    </w:p>
    <w:p w14:paraId="01B7A08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评估迭代：从数据质量、服务稳定性、场景适配性、用户满意度、潜在经济价值、推广条件等方面开展评估并优化产品。</w:t>
      </w:r>
    </w:p>
    <w:p w14:paraId="43DB65F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asciiTheme="minorHAnsi" w:hAnsiTheme="minorHAnsi" w:cstheme="minorBidi"/>
        </w:rPr>
      </w:pPr>
      <w:r>
        <w:rPr>
          <w:rFonts w:asciiTheme="minorHAnsi" w:hAnsiTheme="minorHAnsi" w:cstheme="minorBidi"/>
        </w:rPr>
        <w:t>成果固化：形成体系设计报告、产品说明文件、试点与应用验证报告、成果汇交清单和专题会验收材料。</w:t>
      </w:r>
    </w:p>
    <w:p w14:paraId="61DCA71E">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commentRangeStart w:id="1"/>
      <w:bookmarkStart w:id="12" w:name="_Toc22896"/>
      <w:r>
        <w:rPr>
          <w:rFonts w:asciiTheme="minorHAnsi" w:hAnsiTheme="minorHAnsi" w:cstheme="minorBidi"/>
        </w:rPr>
        <w:t>五、主要实施内容</w:t>
      </w:r>
      <w:commentRangeEnd w:id="1"/>
      <w:r>
        <w:commentReference w:id="1"/>
      </w:r>
      <w:bookmarkEnd w:id="12"/>
    </w:p>
    <w:p w14:paraId="2FAB9AE5">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highlight w:val="yellow"/>
        </w:rPr>
      </w:pPr>
      <w:bookmarkStart w:id="13" w:name="_Toc22786"/>
      <w:r>
        <w:rPr>
          <w:rFonts w:asciiTheme="minorHAnsi" w:hAnsiTheme="minorHAnsi" w:cstheme="minorBidi"/>
          <w:highlight w:val="yellow"/>
        </w:rPr>
        <w:t>（一）专题一：需求分析与体系设计</w:t>
      </w:r>
      <w:bookmarkEnd w:id="13"/>
    </w:p>
    <w:p w14:paraId="21F13D93">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1.需求调研</w:t>
      </w:r>
    </w:p>
    <w:p w14:paraId="6AE6ED6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围绕政府部门、企业市场、科研机构、公众服务和数据运营主体开展需求调研，形成多维度需求画像。</w:t>
      </w:r>
    </w:p>
    <w:p w14:paraId="7CE8E5E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主要工作包括：</w:t>
      </w:r>
    </w:p>
    <w:p w14:paraId="05A1B0D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1.梳理甲方现有数据资源、数据开放共享情况、CIM平台及相关数据服务平台基础。</w:t>
      </w:r>
    </w:p>
    <w:p w14:paraId="48BC82E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2.访谈规划管理、土地管理、自然资源监测、生态保护、海洋管理、测绘地理信息、数据管理等相关业务处室或单位。</w:t>
      </w:r>
    </w:p>
    <w:p w14:paraId="085D67B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3.面向城市更新、公共空间运营、低空经济、保险金融、物流配送、选址评估、应急管理、科研教育等潜在用户开展需求收集。</w:t>
      </w:r>
    </w:p>
    <w:p w14:paraId="2A17AC1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4.对不同应用需求从公共价值、市场价值、数据可得性、技术可行性、合规风险、实施成本、推广潜力等维度进行综合评价。</w:t>
      </w:r>
    </w:p>
    <w:p w14:paraId="43F98E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5.形成需求清单、场景清单、数据资源匹配清单和优先级建议。</w:t>
      </w:r>
    </w:p>
    <w:p w14:paraId="7F622D0D">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2.数据产品体系设计</w:t>
      </w:r>
    </w:p>
    <w:p w14:paraId="6A57C88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构建“基础数据层-主题数据层-应用产品层”三级数据产品体系。</w:t>
      </w:r>
    </w:p>
    <w:p w14:paraId="2326E3D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基础数据层重点承载原始性、基础性、权威性数据资源，主要包括基础地理、规划管控、土地资源、建筑空间、自然资源环境、海洋资源、公共设施、行政区划等数据。</w:t>
      </w:r>
    </w:p>
    <w:p w14:paraId="5DEFBC9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主题数据层面向业务主题和应用场景开展数据融合加工，形成公共空间、低效空间、生态安全、低空经济、产业选址、公共服务、城市韧性等主题数据包。</w:t>
      </w:r>
    </w:p>
    <w:p w14:paraId="36C0B5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应用产品层面向具体用户和服务场景，形成数据API、专题数据集、分析模型、指数指标、监测报告、可视化看板、本地化部署服务等产品。</w:t>
      </w:r>
    </w:p>
    <w:p w14:paraId="260CE9FF">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3.分类分级与目录设计</w:t>
      </w:r>
    </w:p>
    <w:p w14:paraId="0330E01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建立公共数据产品分类分级方法。分类维度包括数据内容、服务对象、产品形态、更新频率、空间尺度、开放属性、业务领域和应用场景。分级维度包括数据敏感性、共享开放条件、使用范围、服务价值、产品成熟度和安全管控要求。</w:t>
      </w:r>
    </w:p>
    <w:p w14:paraId="3703772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输出内容包括：</w:t>
      </w:r>
    </w:p>
    <w:p w14:paraId="68E09C2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1.公共数据产品分类框架。</w:t>
      </w:r>
    </w:p>
    <w:p w14:paraId="4348890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2.公共数据产品分级原则。</w:t>
      </w:r>
    </w:p>
    <w:p w14:paraId="42F2306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3.公共数据产品目录模板。</w:t>
      </w:r>
    </w:p>
    <w:p w14:paraId="584434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4.产品元数据描述规范。</w:t>
      </w:r>
    </w:p>
    <w:p w14:paraId="51B3892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5.产品上架、试用、反馈、优化和退出机制建议。</w:t>
      </w:r>
    </w:p>
    <w:p w14:paraId="72388216">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highlight w:val="yellow"/>
        </w:rPr>
      </w:pPr>
      <w:bookmarkStart w:id="14" w:name="_Toc19869"/>
      <w:r>
        <w:rPr>
          <w:rFonts w:asciiTheme="minorHAnsi" w:hAnsiTheme="minorHAnsi" w:cstheme="minorBidi"/>
          <w:highlight w:val="yellow"/>
        </w:rPr>
        <w:t>（二）专题二：公共数据服务产品研发</w:t>
      </w:r>
      <w:bookmarkEnd w:id="14"/>
    </w:p>
    <w:p w14:paraId="3BC124F5">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1.数据治理与加工</w:t>
      </w:r>
    </w:p>
    <w:p w14:paraId="44559C8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针对试点产品所需数据开展治理加工，重点包括数据汇聚、格式转换、坐标统一、空间拓扑检查、字段标准化、重复数据处理、异常值识别、时空关联、质量评估和元数据补充。</w:t>
      </w:r>
    </w:p>
    <w:p w14:paraId="3CD4BB9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数据治理成果应记录来源、处理流程、字段含义、空间范围、时间范围、更新频率、质量问题、适用限制和安全要求。</w:t>
      </w:r>
    </w:p>
    <w:p w14:paraId="42C8C2B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2.算法模型与指标体系构建</w:t>
      </w:r>
    </w:p>
    <w:p w14:paraId="10DE8DC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围绕重点场景构建公共数据产品算法库，初步包括：</w:t>
      </w:r>
    </w:p>
    <w:p w14:paraId="250EC54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1.空间供需匹配算法：用于公共空间、公共设施、服务半径和人群活动匹配分析。</w:t>
      </w:r>
    </w:p>
    <w:p w14:paraId="185372E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2.空间利用效率评估模型：用于低效空间识别、开发强度评估、用地功能匹配和更新潜力判断。</w:t>
      </w:r>
    </w:p>
    <w:p w14:paraId="4527643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3.生态安全风险识别模型：用于生态敏感区域、灾害风险、环境约束和应急保障场景。</w:t>
      </w:r>
    </w:p>
    <w:p w14:paraId="619F380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4.低空经济空间适配模型：用于低空起降设施、航线适宜性、管控约束和服务覆盖分析。</w:t>
      </w:r>
    </w:p>
    <w:p w14:paraId="0AE325C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5.多源时空数据融合模型：用于将规资数据与人口、产业、交通、公共服务、POI等数据进行统一空间关联。</w:t>
      </w:r>
    </w:p>
    <w:p w14:paraId="13A84EE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6.数据产品价值评估模型：用于从使用频次、决策支撑、成本节约、服务效率、潜在收益等维度评价产品价值。</w:t>
      </w:r>
    </w:p>
    <w:p w14:paraId="5D66F93C">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3.服务封装与接口设计</w:t>
      </w:r>
    </w:p>
    <w:p w14:paraId="42A6A1B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根据产品形态，采用数据集、API、本地化部署服务和可视化应用等方式封装服务能力。接口设计应明确服务名称、服务地址、请求方式、输入参数、输出字段、空间参考、返回格式、调用频率、权限控制、错误码和日志记录要求。</w:t>
      </w:r>
    </w:p>
    <w:p w14:paraId="5CFB271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对具备条件的产品，优先形成标准化数据API；对涉及敏感数据、复杂模型或甲方内网环境的产品，采用本地化部署服务或离线成果包方式交付。</w:t>
      </w:r>
    </w:p>
    <w:p w14:paraId="066B900C">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4.数据产品孵化机制</w:t>
      </w:r>
    </w:p>
    <w:p w14:paraId="5FB8C63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建立数据产品从需求提出到试点验证的闭环机制：</w:t>
      </w:r>
    </w:p>
    <w:p w14:paraId="5402B88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1.需求提出：由甲方业务部门、平台运营方、企业用户或项目组提出产品需求。</w:t>
      </w:r>
    </w:p>
    <w:p w14:paraId="35AC61B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2.可行性评估：从数据、合规、技术、成本、价值和推广条件进行评估。</w:t>
      </w:r>
    </w:p>
    <w:p w14:paraId="233E57C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3.产品立项：明确产品名称、服务对象、输入输出、数据来源、算法路径和试点用户。</w:t>
      </w:r>
    </w:p>
    <w:p w14:paraId="0F1B9D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4.原型开发：完成最小可用产品，开展内部测试。</w:t>
      </w:r>
    </w:p>
    <w:p w14:paraId="3218F89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5.试点发布：通过CIM平台、公共数据开放平台或甲方认可的数据服务平台进行试点发布。</w:t>
      </w:r>
    </w:p>
    <w:p w14:paraId="53FA4BB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6.反馈迭代：收集用户反馈，优化数据质量、接口性能、指标口径和产品说明。</w:t>
      </w:r>
    </w:p>
    <w:p w14:paraId="6CC0762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7.成果固化：形成正式成果、说明文件和推广建议。</w:t>
      </w:r>
    </w:p>
    <w:p w14:paraId="4CC78953">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highlight w:val="yellow"/>
        </w:rPr>
      </w:pPr>
      <w:bookmarkStart w:id="15" w:name="_Toc6603"/>
      <w:r>
        <w:rPr>
          <w:rFonts w:asciiTheme="minorHAnsi" w:hAnsiTheme="minorHAnsi" w:cstheme="minorBidi"/>
          <w:highlight w:val="yellow"/>
        </w:rPr>
        <w:t>（三）专题三：产品试点与应用验证</w:t>
      </w:r>
      <w:bookmarkEnd w:id="15"/>
    </w:p>
    <w:p w14:paraId="21FCB2C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本项目拟优先设计并验证不少于4个公共数据服务产品。具体产品可结合甲方数据条件和审定意见动态优化，初步建议如下：</w:t>
      </w:r>
    </w:p>
    <w:p w14:paraId="4BE1EE70">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产品一：公共空间运营评价数据服务产品</w:t>
      </w:r>
    </w:p>
    <w:p w14:paraId="595238F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服务对象：公共空间管理部门、街道、运营单位、城市服务企业。</w:t>
      </w:r>
    </w:p>
    <w:p w14:paraId="4CD8110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应用场景：公共空间资源盘点、设施供需匹配、运营活力评价、精细化管理。</w:t>
      </w:r>
    </w:p>
    <w:p w14:paraId="212A1BF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核心数据：公共空间边界、设施点位、周边人口、交通可达性、POI、活动热度、规划管控信息。</w:t>
      </w:r>
    </w:p>
    <w:p w14:paraId="6B8715D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服务内容：公共空间基础画像、服务覆盖分析、使用活力指数、设施短板识别、运营优化建议。</w:t>
      </w:r>
    </w:p>
    <w:p w14:paraId="49D1CE1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交付形态：专题数据集、评价模型、数据API或可视化看板。</w:t>
      </w:r>
    </w:p>
    <w:p w14:paraId="5688F1B9">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产品二：低效空间识别与治理数据服务产品</w:t>
      </w:r>
    </w:p>
    <w:p w14:paraId="1A41FCC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服务对象：城市更新、土地整备、产业空间管理、片区统筹部门。</w:t>
      </w:r>
    </w:p>
    <w:p w14:paraId="6C0A376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应用场景：低效用地识别、更新潜力评估、空间治理优先级排序。</w:t>
      </w:r>
    </w:p>
    <w:p w14:paraId="0FC6A1C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核心数据：用地现状、规划用途、建筑物、产权或宗地信息、开发强度、产业活动、交通区位、公共服务设施。</w:t>
      </w:r>
    </w:p>
    <w:p w14:paraId="61DDBDC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服务内容：低效空间识别规则、空间利用效率指数、更新潜力分级、治理策略标签。</w:t>
      </w:r>
    </w:p>
    <w:p w14:paraId="7A8CDD2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交付形态：低效空间专题数据包、识别算法、本地化分析服务、评估报告。</w:t>
      </w:r>
    </w:p>
    <w:p w14:paraId="6303E2C1">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产品三：生态安全应急辅助数据服务产品</w:t>
      </w:r>
    </w:p>
    <w:p w14:paraId="458515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服务对象：自然资源、生态保护、应急管理、海洋和环境相关部门。</w:t>
      </w:r>
    </w:p>
    <w:p w14:paraId="6816A3F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应用场景：生态敏感区域识别、灾害风险研判、应急资源空间调度、生态管控辅助。</w:t>
      </w:r>
    </w:p>
    <w:p w14:paraId="0541D74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核心数据：生态保护红线、自然保护地、海岸带、山体水系、地质灾害点、历史事件、交通通达性、应急设施。</w:t>
      </w:r>
    </w:p>
    <w:p w14:paraId="0C9D763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服务内容：生态敏感性分区、风险叠加分析、应急保障可达性、重点区域监测清单。</w:t>
      </w:r>
    </w:p>
    <w:p w14:paraId="7B11194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交付形态：风险专题数据集、空间分析模型、数据API、专题图件和验证报告。</w:t>
      </w:r>
    </w:p>
    <w:p w14:paraId="2C6F55E1">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产品四：低空经济空间适配数据服务产品</w:t>
      </w:r>
    </w:p>
    <w:p w14:paraId="39AFAD4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服务对象：低空经济主管部门、低空运营企业、规划管理部门、平台运营方。</w:t>
      </w:r>
    </w:p>
    <w:p w14:paraId="436B5F9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应用场景：低空起降设施选址、低空航线适宜性研判、低空应用场景空间评估。</w:t>
      </w:r>
    </w:p>
    <w:p w14:paraId="3E6E75C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核心数据：建筑高度、地形地貌、用地规划、机场及禁限飞约束、公共设施、人口活动、产业园区、交通枢纽。</w:t>
      </w:r>
    </w:p>
    <w:p w14:paraId="012BD8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cstheme="minorBidi"/>
          <w:highlight w:val="yellow"/>
          <w:lang w:eastAsia="zh-CN"/>
        </w:rPr>
      </w:pPr>
      <w:r>
        <w:rPr>
          <w:rFonts w:asciiTheme="minorHAnsi" w:hAnsiTheme="minorHAnsi" w:cstheme="minorBidi"/>
          <w:highlight w:val="yellow"/>
        </w:rPr>
        <w:t>服务内容：起降点适宜性评价、航线空间约束识别、应用场景适配度评估、低空服务覆盖分析。</w:t>
      </w:r>
    </w:p>
    <w:p w14:paraId="5151FE3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交付形态：适宜性指标模型、专题数据集、接口服务或本地化部署工具。</w:t>
      </w:r>
    </w:p>
    <w:p w14:paraId="2266C68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highlight w:val="yellow"/>
        </w:rPr>
      </w:pPr>
      <w:r>
        <w:rPr>
          <w:rFonts w:hint="eastAsia" w:asciiTheme="minorEastAsia" w:hAnsiTheme="minorEastAsia" w:eastAsiaTheme="minorEastAsia" w:cstheme="minorEastAsia"/>
          <w:highlight w:val="yellow"/>
        </w:rPr>
        <w:t>备选产品方向</w:t>
      </w:r>
    </w:p>
    <w:p w14:paraId="21CB6D3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highlight w:val="yellow"/>
        </w:rPr>
      </w:pPr>
      <w:r>
        <w:rPr>
          <w:rFonts w:asciiTheme="minorHAnsi" w:hAnsiTheme="minorHAnsi" w:cstheme="minorBidi"/>
          <w:highlight w:val="yellow"/>
        </w:rPr>
        <w:t>为提高试点弹性，项目同步储备以下备选方向：产业选址评估数据服务、公共服务设施均衡性评价数据服务、海洋资源利用监测数据服务、城市更新实施成效监测数据服务、自然资源资产价值评估辅助数据服务。若甲方认为上述4个初选方向需调整，可在需求分析阶段通过专题会确认最终试点清单。</w:t>
      </w:r>
    </w:p>
    <w:p w14:paraId="296DA726">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16" w:name="_Toc27506"/>
      <w:r>
        <w:rPr>
          <w:rFonts w:asciiTheme="minorHAnsi" w:hAnsiTheme="minorHAnsi" w:cstheme="minorBidi"/>
        </w:rPr>
        <w:t>六、实施步骤与进度安排</w:t>
      </w:r>
      <w:bookmarkEnd w:id="16"/>
    </w:p>
    <w:p w14:paraId="6DA3FD4C">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17" w:name="_Toc30550"/>
      <w:r>
        <w:rPr>
          <w:rFonts w:asciiTheme="minorHAnsi" w:hAnsiTheme="minorHAnsi" w:cstheme="minorBidi"/>
        </w:rPr>
        <w:t>第一阶段：前期准备与实施方案编制（1个月）</w:t>
      </w:r>
      <w:bookmarkEnd w:id="17"/>
    </w:p>
    <w:p w14:paraId="2D2874F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主要任务：</w:t>
      </w:r>
    </w:p>
    <w:p w14:paraId="28A08CE8">
      <w:pPr>
        <w:keepNext w:val="0"/>
        <w:keepLines w:val="0"/>
        <w:pageBreakBefore w:val="0"/>
        <w:widowControl/>
        <w:numPr>
          <w:ilvl w:val="0"/>
          <w:numId w:val="5"/>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成立项目组，明确项目负责人、技术负责人、质量负责人、数据安全负责人和各专题负责人。</w:t>
      </w:r>
    </w:p>
    <w:p w14:paraId="2A7DFE46">
      <w:pPr>
        <w:keepNext w:val="0"/>
        <w:keepLines w:val="0"/>
        <w:pageBreakBefore w:val="0"/>
        <w:widowControl/>
        <w:numPr>
          <w:ilvl w:val="0"/>
          <w:numId w:val="5"/>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收集合同、计划书、招投标文件、甲方管理制度、现有数据目录、平台接口资料和相关政策文件。</w:t>
      </w:r>
    </w:p>
    <w:p w14:paraId="6E1831E4">
      <w:pPr>
        <w:keepNext w:val="0"/>
        <w:keepLines w:val="0"/>
        <w:pageBreakBefore w:val="0"/>
        <w:widowControl/>
        <w:numPr>
          <w:ilvl w:val="0"/>
          <w:numId w:val="5"/>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召开项目启动会，明确沟通机制、成果审查机制、资料交接方式和保密要求。</w:t>
      </w:r>
    </w:p>
    <w:p w14:paraId="72C7EF92">
      <w:pPr>
        <w:keepNext w:val="0"/>
        <w:keepLines w:val="0"/>
        <w:pageBreakBefore w:val="0"/>
        <w:widowControl/>
        <w:numPr>
          <w:ilvl w:val="0"/>
          <w:numId w:val="5"/>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编制本实施方案，提交甲方审核。</w:t>
      </w:r>
    </w:p>
    <w:p w14:paraId="630F551F">
      <w:pPr>
        <w:keepNext w:val="0"/>
        <w:keepLines w:val="0"/>
        <w:pageBreakBefore w:val="0"/>
        <w:widowControl/>
        <w:numPr>
          <w:ilvl w:val="0"/>
          <w:numId w:val="5"/>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根据甲方审定意见完善实施方案，形成项目执行基准。</w:t>
      </w:r>
    </w:p>
    <w:p w14:paraId="1170194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阶段成果：</w:t>
      </w:r>
    </w:p>
    <w:p w14:paraId="235B2990">
      <w:pPr>
        <w:keepNext w:val="0"/>
        <w:keepLines w:val="0"/>
        <w:pageBreakBefore w:val="0"/>
        <w:widowControl/>
        <w:numPr>
          <w:ilvl w:val="0"/>
          <w:numId w:val="6"/>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项目启动会议纪要。</w:t>
      </w:r>
    </w:p>
    <w:p w14:paraId="191EC05C">
      <w:pPr>
        <w:keepNext w:val="0"/>
        <w:keepLines w:val="0"/>
        <w:pageBreakBefore w:val="0"/>
        <w:widowControl/>
        <w:numPr>
          <w:ilvl w:val="0"/>
          <w:numId w:val="6"/>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资料需求清单。</w:t>
      </w:r>
    </w:p>
    <w:p w14:paraId="58C6C3ED">
      <w:pPr>
        <w:keepNext w:val="0"/>
        <w:keepLines w:val="0"/>
        <w:pageBreakBefore w:val="0"/>
        <w:widowControl/>
        <w:numPr>
          <w:ilvl w:val="0"/>
          <w:numId w:val="6"/>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《规划和自然资源公共数据产品建设项目实施方案》。</w:t>
      </w:r>
    </w:p>
    <w:p w14:paraId="611AC046">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18" w:name="_Toc9933"/>
      <w:r>
        <w:rPr>
          <w:rFonts w:asciiTheme="minorHAnsi" w:hAnsiTheme="minorHAnsi" w:cstheme="minorBidi"/>
        </w:rPr>
        <w:t>第二阶段：需求分析与体系设计（2至3个月）</w:t>
      </w:r>
      <w:bookmarkEnd w:id="18"/>
    </w:p>
    <w:p w14:paraId="24C38F3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主要任务：</w:t>
      </w:r>
    </w:p>
    <w:p w14:paraId="73DE6B98">
      <w:pPr>
        <w:keepNext w:val="0"/>
        <w:keepLines w:val="0"/>
        <w:pageBreakBefore w:val="0"/>
        <w:widowControl/>
        <w:numPr>
          <w:ilvl w:val="0"/>
          <w:numId w:val="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开展政府部门、企业、科研机构和平台运营主体需求调研。</w:t>
      </w:r>
    </w:p>
    <w:p w14:paraId="5BEED40C">
      <w:pPr>
        <w:keepNext w:val="0"/>
        <w:keepLines w:val="0"/>
        <w:pageBreakBefore w:val="0"/>
        <w:widowControl/>
        <w:numPr>
          <w:ilvl w:val="0"/>
          <w:numId w:val="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梳理规资公共数据资源、现有数据服务能力、平台发布条件和数据安全边界。</w:t>
      </w:r>
    </w:p>
    <w:p w14:paraId="7BDCB8E3">
      <w:pPr>
        <w:keepNext w:val="0"/>
        <w:keepLines w:val="0"/>
        <w:pageBreakBefore w:val="0"/>
        <w:widowControl/>
        <w:numPr>
          <w:ilvl w:val="0"/>
          <w:numId w:val="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开展国内外公共数据产品、自然资源数据服务、城市空间数据要素流通案例研究。</w:t>
      </w:r>
    </w:p>
    <w:p w14:paraId="58989A52">
      <w:pPr>
        <w:keepNext w:val="0"/>
        <w:keepLines w:val="0"/>
        <w:pageBreakBefore w:val="0"/>
        <w:widowControl/>
        <w:numPr>
          <w:ilvl w:val="0"/>
          <w:numId w:val="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构建三级数据产品体系架构。</w:t>
      </w:r>
    </w:p>
    <w:p w14:paraId="46518C57">
      <w:pPr>
        <w:keepNext w:val="0"/>
        <w:keepLines w:val="0"/>
        <w:pageBreakBefore w:val="0"/>
        <w:widowControl/>
        <w:numPr>
          <w:ilvl w:val="0"/>
          <w:numId w:val="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形成数据产品分类分级、目录模板、产品元数据和产品开发优先级建议。</w:t>
      </w:r>
    </w:p>
    <w:p w14:paraId="75BEE1B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阶段成果：</w:t>
      </w:r>
    </w:p>
    <w:p w14:paraId="6B714059">
      <w:pPr>
        <w:keepNext w:val="0"/>
        <w:keepLines w:val="0"/>
        <w:pageBreakBefore w:val="0"/>
        <w:widowControl/>
        <w:numPr>
          <w:ilvl w:val="0"/>
          <w:numId w:val="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需求调研记录和需求清单。</w:t>
      </w:r>
    </w:p>
    <w:p w14:paraId="48E8259B">
      <w:pPr>
        <w:keepNext w:val="0"/>
        <w:keepLines w:val="0"/>
        <w:pageBreakBefore w:val="0"/>
        <w:widowControl/>
        <w:numPr>
          <w:ilvl w:val="0"/>
          <w:numId w:val="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数据资源与场景匹配清单。</w:t>
      </w:r>
    </w:p>
    <w:p w14:paraId="4839BCB4">
      <w:pPr>
        <w:keepNext w:val="0"/>
        <w:keepLines w:val="0"/>
        <w:pageBreakBefore w:val="0"/>
        <w:widowControl/>
        <w:numPr>
          <w:ilvl w:val="0"/>
          <w:numId w:val="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公共数据产品体系框架。</w:t>
      </w:r>
    </w:p>
    <w:p w14:paraId="69DF7999">
      <w:pPr>
        <w:keepNext w:val="0"/>
        <w:keepLines w:val="0"/>
        <w:pageBreakBefore w:val="0"/>
        <w:widowControl/>
        <w:numPr>
          <w:ilvl w:val="0"/>
          <w:numId w:val="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试点产品建议清单。</w:t>
      </w:r>
    </w:p>
    <w:p w14:paraId="1258D6FF">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19" w:name="_Toc24048"/>
      <w:r>
        <w:rPr>
          <w:rFonts w:asciiTheme="minorHAnsi" w:hAnsiTheme="minorHAnsi" w:cstheme="minorBidi"/>
        </w:rPr>
        <w:t>第三阶段：公共数据服务产品研发（4至6个月）</w:t>
      </w:r>
      <w:bookmarkEnd w:id="19"/>
    </w:p>
    <w:p w14:paraId="721ED08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主要任务：</w:t>
      </w:r>
    </w:p>
    <w:p w14:paraId="701A65F9">
      <w:pPr>
        <w:keepNext w:val="0"/>
        <w:keepLines w:val="0"/>
        <w:pageBreakBefore w:val="0"/>
        <w:widowControl/>
        <w:numPr>
          <w:ilvl w:val="0"/>
          <w:numId w:val="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确定不少于4个试点产品的产品定义、数据范围、服务对象和验证方式。</w:t>
      </w:r>
    </w:p>
    <w:p w14:paraId="6BE61188">
      <w:pPr>
        <w:keepNext w:val="0"/>
        <w:keepLines w:val="0"/>
        <w:pageBreakBefore w:val="0"/>
        <w:widowControl/>
        <w:numPr>
          <w:ilvl w:val="0"/>
          <w:numId w:val="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开展数据治理、质量检查、字段标准化和空间关联处理。</w:t>
      </w:r>
    </w:p>
    <w:p w14:paraId="406FEB99">
      <w:pPr>
        <w:keepNext w:val="0"/>
        <w:keepLines w:val="0"/>
        <w:pageBreakBefore w:val="0"/>
        <w:widowControl/>
        <w:numPr>
          <w:ilvl w:val="0"/>
          <w:numId w:val="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设计产品指标体系、算法模型和接口服务。</w:t>
      </w:r>
    </w:p>
    <w:p w14:paraId="27AA584A">
      <w:pPr>
        <w:keepNext w:val="0"/>
        <w:keepLines w:val="0"/>
        <w:pageBreakBefore w:val="0"/>
        <w:widowControl/>
        <w:numPr>
          <w:ilvl w:val="0"/>
          <w:numId w:val="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开发产品原型，完成内部测试和质量检查。</w:t>
      </w:r>
    </w:p>
    <w:p w14:paraId="0C81A0A6">
      <w:pPr>
        <w:keepNext w:val="0"/>
        <w:keepLines w:val="0"/>
        <w:pageBreakBefore w:val="0"/>
        <w:widowControl/>
        <w:numPr>
          <w:ilvl w:val="0"/>
          <w:numId w:val="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形成数据产品说明初稿、接口说明初稿和测试记录。</w:t>
      </w:r>
    </w:p>
    <w:p w14:paraId="074D4EB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阶段成果：</w:t>
      </w:r>
    </w:p>
    <w:p w14:paraId="23FDCB20">
      <w:pPr>
        <w:keepNext w:val="0"/>
        <w:keepLines w:val="0"/>
        <w:pageBreakBefore w:val="0"/>
        <w:widowControl/>
        <w:numPr>
          <w:ilvl w:val="0"/>
          <w:numId w:val="1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数据治理处理记录。</w:t>
      </w:r>
    </w:p>
    <w:p w14:paraId="68F62D92">
      <w:pPr>
        <w:keepNext w:val="0"/>
        <w:keepLines w:val="0"/>
        <w:pageBreakBefore w:val="0"/>
        <w:widowControl/>
        <w:numPr>
          <w:ilvl w:val="0"/>
          <w:numId w:val="1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数据产品算法库。</w:t>
      </w:r>
    </w:p>
    <w:p w14:paraId="549AFEF2">
      <w:pPr>
        <w:keepNext w:val="0"/>
        <w:keepLines w:val="0"/>
        <w:pageBreakBefore w:val="0"/>
        <w:widowControl/>
        <w:numPr>
          <w:ilvl w:val="0"/>
          <w:numId w:val="1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不少于4个产品原型。</w:t>
      </w:r>
    </w:p>
    <w:p w14:paraId="166CB47D">
      <w:pPr>
        <w:keepNext w:val="0"/>
        <w:keepLines w:val="0"/>
        <w:pageBreakBefore w:val="0"/>
        <w:widowControl/>
        <w:numPr>
          <w:ilvl w:val="0"/>
          <w:numId w:val="1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接口或本地化服务原型。</w:t>
      </w:r>
    </w:p>
    <w:p w14:paraId="37931CEE">
      <w:pPr>
        <w:keepNext w:val="0"/>
        <w:keepLines w:val="0"/>
        <w:pageBreakBefore w:val="0"/>
        <w:widowControl/>
        <w:numPr>
          <w:ilvl w:val="0"/>
          <w:numId w:val="1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产品说明文件初稿。</w:t>
      </w:r>
    </w:p>
    <w:p w14:paraId="04C96403">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0" w:name="_Toc27426"/>
      <w:r>
        <w:rPr>
          <w:rFonts w:asciiTheme="minorHAnsi" w:hAnsiTheme="minorHAnsi" w:cstheme="minorBidi"/>
        </w:rPr>
        <w:t>第四阶段：产品试点与应用验证（7至9个月）</w:t>
      </w:r>
      <w:bookmarkEnd w:id="20"/>
    </w:p>
    <w:p w14:paraId="3545C3B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主要任务：</w:t>
      </w:r>
    </w:p>
    <w:p w14:paraId="42A3573D">
      <w:pPr>
        <w:keepNext w:val="0"/>
        <w:keepLines w:val="0"/>
        <w:pageBreakBefore w:val="0"/>
        <w:widowControl/>
        <w:numPr>
          <w:ilvl w:val="0"/>
          <w:numId w:val="11"/>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通过CIM平台、深圳市公共数据开放平台或甲方认可的试点数据服务平台发布试点产品。</w:t>
      </w:r>
    </w:p>
    <w:p w14:paraId="3F2EB50C">
      <w:pPr>
        <w:keepNext w:val="0"/>
        <w:keepLines w:val="0"/>
        <w:pageBreakBefore w:val="0"/>
        <w:widowControl/>
        <w:numPr>
          <w:ilvl w:val="0"/>
          <w:numId w:val="11"/>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邀请目标用户试用数据产品，记录调用情况、应用反馈和问题清单。</w:t>
      </w:r>
    </w:p>
    <w:p w14:paraId="3C30F9D5">
      <w:pPr>
        <w:keepNext w:val="0"/>
        <w:keepLines w:val="0"/>
        <w:pageBreakBefore w:val="0"/>
        <w:widowControl/>
        <w:numPr>
          <w:ilvl w:val="0"/>
          <w:numId w:val="11"/>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从服务能力、应用成效、用户满意度、潜在经济价值和推广条件等维度开展量化评估。</w:t>
      </w:r>
    </w:p>
    <w:p w14:paraId="2D07C555">
      <w:pPr>
        <w:keepNext w:val="0"/>
        <w:keepLines w:val="0"/>
        <w:pageBreakBefore w:val="0"/>
        <w:widowControl/>
        <w:numPr>
          <w:ilvl w:val="0"/>
          <w:numId w:val="11"/>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根据反馈优化产品数据、指标口径、接口参数、说明文件和服务流程。</w:t>
      </w:r>
    </w:p>
    <w:p w14:paraId="5EA0D4E2">
      <w:pPr>
        <w:keepNext w:val="0"/>
        <w:keepLines w:val="0"/>
        <w:pageBreakBefore w:val="0"/>
        <w:widowControl/>
        <w:numPr>
          <w:ilvl w:val="0"/>
          <w:numId w:val="11"/>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总结试点经验，提出推广路径和运营建议。</w:t>
      </w:r>
    </w:p>
    <w:p w14:paraId="46A4760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阶段成果：</w:t>
      </w:r>
    </w:p>
    <w:p w14:paraId="4BCE146A">
      <w:pPr>
        <w:keepNext w:val="0"/>
        <w:keepLines w:val="0"/>
        <w:pageBreakBefore w:val="0"/>
        <w:widowControl/>
        <w:numPr>
          <w:ilvl w:val="0"/>
          <w:numId w:val="12"/>
        </w:numPr>
        <w:kinsoku/>
        <w:wordWrap/>
        <w:overflowPunct/>
        <w:topLinePunct w:val="0"/>
        <w:autoSpaceDE/>
        <w:autoSpaceDN/>
        <w:bidi w:val="0"/>
        <w:adjustRightInd/>
        <w:snapToGrid/>
        <w:spacing w:line="360" w:lineRule="auto"/>
        <w:ind w:left="465" w:leftChars="0" w:firstLine="15" w:firstLineChars="0"/>
        <w:textAlignment w:val="auto"/>
        <w:rPr>
          <w:rFonts w:asciiTheme="minorHAnsi" w:hAnsiTheme="minorHAnsi" w:cstheme="minorBidi"/>
        </w:rPr>
      </w:pPr>
      <w:r>
        <w:rPr>
          <w:rFonts w:asciiTheme="minorHAnsi" w:hAnsiTheme="minorHAnsi" w:cstheme="minorBidi"/>
        </w:rPr>
        <w:t>不少于4个公共数据服务产品试点成果。</w:t>
      </w:r>
    </w:p>
    <w:p w14:paraId="1001C5D4">
      <w:pPr>
        <w:keepNext w:val="0"/>
        <w:keepLines w:val="0"/>
        <w:pageBreakBefore w:val="0"/>
        <w:widowControl/>
        <w:numPr>
          <w:ilvl w:val="0"/>
          <w:numId w:val="12"/>
        </w:numPr>
        <w:kinsoku/>
        <w:wordWrap/>
        <w:overflowPunct/>
        <w:topLinePunct w:val="0"/>
        <w:autoSpaceDE/>
        <w:autoSpaceDN/>
        <w:bidi w:val="0"/>
        <w:adjustRightInd/>
        <w:snapToGrid/>
        <w:spacing w:line="360" w:lineRule="auto"/>
        <w:ind w:left="465" w:leftChars="0" w:firstLine="15" w:firstLineChars="0"/>
        <w:textAlignment w:val="auto"/>
        <w:rPr>
          <w:rFonts w:asciiTheme="minorHAnsi" w:hAnsiTheme="minorHAnsi" w:cstheme="minorBidi"/>
        </w:rPr>
      </w:pPr>
      <w:r>
        <w:rPr>
          <w:rFonts w:asciiTheme="minorHAnsi" w:hAnsiTheme="minorHAnsi" w:cstheme="minorBidi"/>
        </w:rPr>
        <w:t>试点发布记录。</w:t>
      </w:r>
    </w:p>
    <w:p w14:paraId="2B7312FC">
      <w:pPr>
        <w:keepNext w:val="0"/>
        <w:keepLines w:val="0"/>
        <w:pageBreakBefore w:val="0"/>
        <w:widowControl/>
        <w:numPr>
          <w:ilvl w:val="0"/>
          <w:numId w:val="12"/>
        </w:numPr>
        <w:kinsoku/>
        <w:wordWrap/>
        <w:overflowPunct/>
        <w:topLinePunct w:val="0"/>
        <w:autoSpaceDE/>
        <w:autoSpaceDN/>
        <w:bidi w:val="0"/>
        <w:adjustRightInd/>
        <w:snapToGrid/>
        <w:spacing w:line="360" w:lineRule="auto"/>
        <w:ind w:left="465" w:leftChars="0" w:firstLine="15" w:firstLineChars="0"/>
        <w:textAlignment w:val="auto"/>
        <w:rPr>
          <w:rFonts w:asciiTheme="minorHAnsi" w:hAnsiTheme="minorHAnsi" w:cstheme="minorBidi"/>
        </w:rPr>
      </w:pPr>
      <w:r>
        <w:rPr>
          <w:rFonts w:asciiTheme="minorHAnsi" w:hAnsiTheme="minorHAnsi" w:cstheme="minorBidi"/>
        </w:rPr>
        <w:t>用户反馈记录。</w:t>
      </w:r>
    </w:p>
    <w:p w14:paraId="46017CAD">
      <w:pPr>
        <w:keepNext w:val="0"/>
        <w:keepLines w:val="0"/>
        <w:pageBreakBefore w:val="0"/>
        <w:widowControl/>
        <w:numPr>
          <w:ilvl w:val="0"/>
          <w:numId w:val="12"/>
        </w:numPr>
        <w:kinsoku/>
        <w:wordWrap/>
        <w:overflowPunct/>
        <w:topLinePunct w:val="0"/>
        <w:autoSpaceDE/>
        <w:autoSpaceDN/>
        <w:bidi w:val="0"/>
        <w:adjustRightInd/>
        <w:snapToGrid/>
        <w:spacing w:line="360" w:lineRule="auto"/>
        <w:ind w:left="465" w:leftChars="0" w:firstLine="15" w:firstLineChars="0"/>
        <w:textAlignment w:val="auto"/>
        <w:rPr>
          <w:rFonts w:asciiTheme="minorHAnsi" w:hAnsiTheme="minorHAnsi" w:cstheme="minorBidi"/>
        </w:rPr>
      </w:pPr>
      <w:r>
        <w:rPr>
          <w:rFonts w:asciiTheme="minorHAnsi" w:hAnsiTheme="minorHAnsi" w:cstheme="minorBidi"/>
        </w:rPr>
        <w:t>产品应用成效评估材料。</w:t>
      </w:r>
    </w:p>
    <w:p w14:paraId="26095CC8">
      <w:pPr>
        <w:keepNext w:val="0"/>
        <w:keepLines w:val="0"/>
        <w:pageBreakBefore w:val="0"/>
        <w:widowControl/>
        <w:numPr>
          <w:ilvl w:val="0"/>
          <w:numId w:val="12"/>
        </w:numPr>
        <w:kinsoku/>
        <w:wordWrap/>
        <w:overflowPunct/>
        <w:topLinePunct w:val="0"/>
        <w:autoSpaceDE/>
        <w:autoSpaceDN/>
        <w:bidi w:val="0"/>
        <w:adjustRightInd/>
        <w:snapToGrid/>
        <w:spacing w:line="360" w:lineRule="auto"/>
        <w:ind w:left="465" w:leftChars="0" w:firstLine="15" w:firstLineChars="0"/>
        <w:textAlignment w:val="auto"/>
        <w:rPr>
          <w:rFonts w:asciiTheme="minorHAnsi" w:hAnsiTheme="minorHAnsi" w:cstheme="minorBidi"/>
        </w:rPr>
      </w:pPr>
      <w:r>
        <w:rPr>
          <w:rFonts w:asciiTheme="minorHAnsi" w:hAnsiTheme="minorHAnsi" w:cstheme="minorBidi"/>
        </w:rPr>
        <w:t>试点与应用验证报告初稿。</w:t>
      </w:r>
    </w:p>
    <w:p w14:paraId="5200A095">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1" w:name="_Toc25130"/>
      <w:r>
        <w:rPr>
          <w:rFonts w:asciiTheme="minorHAnsi" w:hAnsiTheme="minorHAnsi" w:cstheme="minorBidi"/>
        </w:rPr>
        <w:t>第五阶段：成果完善与结题验收（10至12个月）</w:t>
      </w:r>
      <w:bookmarkEnd w:id="21"/>
    </w:p>
    <w:p w14:paraId="4837297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主要任务：</w:t>
      </w:r>
    </w:p>
    <w:p w14:paraId="34F8D4D7">
      <w:pPr>
        <w:keepNext w:val="0"/>
        <w:keepLines w:val="0"/>
        <w:pageBreakBefore w:val="0"/>
        <w:widowControl/>
        <w:numPr>
          <w:ilvl w:val="0"/>
          <w:numId w:val="13"/>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征求甲方及相关部门意见，完善体系设计报告、产品成果和试点验证报告。</w:t>
      </w:r>
    </w:p>
    <w:p w14:paraId="011D48EA">
      <w:pPr>
        <w:keepNext w:val="0"/>
        <w:keepLines w:val="0"/>
        <w:pageBreakBefore w:val="0"/>
        <w:widowControl/>
        <w:numPr>
          <w:ilvl w:val="0"/>
          <w:numId w:val="13"/>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按数字化交付要求整理电子成果、纸质成果、数据成果、接口说明、产品说明和质量检查材料。</w:t>
      </w:r>
    </w:p>
    <w:p w14:paraId="73C2B249">
      <w:pPr>
        <w:keepNext w:val="0"/>
        <w:keepLines w:val="0"/>
        <w:pageBreakBefore w:val="0"/>
        <w:widowControl/>
        <w:numPr>
          <w:ilvl w:val="0"/>
          <w:numId w:val="13"/>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准备专题会汇报材料、演示材料、成果清单和验收支撑材料。</w:t>
      </w:r>
    </w:p>
    <w:p w14:paraId="17D02D5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配合甲方开展专题会验收，根据会议意见完成修改完善。</w:t>
      </w:r>
    </w:p>
    <w:p w14:paraId="5D4073C3">
      <w:pPr>
        <w:keepNext w:val="0"/>
        <w:keepLines w:val="0"/>
        <w:pageBreakBefore w:val="0"/>
        <w:widowControl/>
        <w:numPr>
          <w:ilvl w:val="0"/>
          <w:numId w:val="13"/>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形成最终归档成果。</w:t>
      </w:r>
    </w:p>
    <w:p w14:paraId="224173F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阶段成果：</w:t>
      </w:r>
    </w:p>
    <w:p w14:paraId="598E560F">
      <w:pPr>
        <w:keepNext w:val="0"/>
        <w:keepLines w:val="0"/>
        <w:pageBreakBefore w:val="0"/>
        <w:widowControl/>
        <w:numPr>
          <w:ilvl w:val="0"/>
          <w:numId w:val="14"/>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《规划和自然资源公共数据产品体系设计报告》。</w:t>
      </w:r>
    </w:p>
    <w:p w14:paraId="185916B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不少于4个公共数据服务产品最终成果。</w:t>
      </w:r>
    </w:p>
    <w:p w14:paraId="608C2111">
      <w:pPr>
        <w:keepNext w:val="0"/>
        <w:keepLines w:val="0"/>
        <w:pageBreakBefore w:val="0"/>
        <w:widowControl/>
        <w:numPr>
          <w:ilvl w:val="0"/>
          <w:numId w:val="14"/>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《规划和自然资源公共数据产品试点与应用验证报告》。</w:t>
      </w:r>
    </w:p>
    <w:p w14:paraId="096474D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《产品说明文件》。</w:t>
      </w:r>
    </w:p>
    <w:p w14:paraId="351C25A6">
      <w:pPr>
        <w:keepNext w:val="0"/>
        <w:keepLines w:val="0"/>
        <w:pageBreakBefore w:val="0"/>
        <w:widowControl/>
        <w:numPr>
          <w:ilvl w:val="0"/>
          <w:numId w:val="14"/>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项目验收汇报材料和成果汇交清单。</w:t>
      </w:r>
    </w:p>
    <w:p w14:paraId="6FFB47C0">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22" w:name="_Toc15844"/>
      <w:r>
        <w:rPr>
          <w:rFonts w:asciiTheme="minorHAnsi" w:hAnsiTheme="minorHAnsi" w:cstheme="minorBidi"/>
        </w:rPr>
        <w:t>七、项目组织与人员安排</w:t>
      </w:r>
      <w:bookmarkEnd w:id="22"/>
    </w:p>
    <w:p w14:paraId="78866434">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3" w:name="_Toc21043"/>
      <w:r>
        <w:rPr>
          <w:rFonts w:asciiTheme="minorHAnsi" w:hAnsiTheme="minorHAnsi" w:cstheme="minorBidi"/>
        </w:rPr>
        <w:t>（一）组织架构</w:t>
      </w:r>
      <w:bookmarkEnd w:id="23"/>
    </w:p>
    <w:p w14:paraId="2FDB50A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项目采用“项目负责人统筹、专题负责人分工、质量安全双线管控、甲乙双方定期沟通”的组织模式。</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99"/>
        <w:gridCol w:w="7143"/>
      </w:tblGrid>
      <w:tr w14:paraId="2B562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65B1A6">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角色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026E5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主要职责</w:t>
            </w:r>
          </w:p>
        </w:tc>
      </w:tr>
      <w:tr w14:paraId="7772D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E7A3E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项目负责人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07FB6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负责项目总体组织、技术方向、甲方沟通、重大事项协调、成果质量把关和验收汇报</w:t>
            </w:r>
          </w:p>
        </w:tc>
      </w:tr>
      <w:tr w14:paraId="5478C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E6E0C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技术负责人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7B9B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负责技术路线、数据产品体系、算法模型、接口服务和试点验证技术统筹</w:t>
            </w:r>
          </w:p>
        </w:tc>
      </w:tr>
      <w:tr w14:paraId="4DEF1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DE69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需求与体系设计组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AF799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负责需求调研、案例研究、产品体系设计、分类分级和目录设计</w:t>
            </w:r>
          </w:p>
        </w:tc>
      </w:tr>
      <w:tr w14:paraId="2707A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36F37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数据治理与算法组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D60FB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负责数据处理、质量检查、指标模型、算法库和空间分析</w:t>
            </w:r>
          </w:p>
        </w:tc>
      </w:tr>
      <w:tr w14:paraId="5CB9C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FB8E7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产品研发与平台对接组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F3FC5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 API 设计、本地化部署服务、产品原型、平台发布和运行测试</w:t>
            </w:r>
          </w:p>
        </w:tc>
      </w:tr>
      <w:tr w14:paraId="25FA8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76F1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试点验证与评估组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DC511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负责试点组织、用户反馈、成效评估、推广路径和验证报告</w:t>
            </w:r>
          </w:p>
        </w:tc>
      </w:tr>
      <w:tr w14:paraId="3C085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9F0F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质量与安全管理组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59CEA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负责成果审查、进度跟踪、数据安全、保密管理、成果汇交和验收支撑</w:t>
            </w:r>
          </w:p>
        </w:tc>
      </w:tr>
    </w:tbl>
    <w:p w14:paraId="1B7BD2DC">
      <w:pPr>
        <w:keepNext w:val="0"/>
        <w:keepLines w:val="0"/>
        <w:pageBreakBefore w:val="0"/>
        <w:widowControl/>
        <w:kinsoku/>
        <w:wordWrap/>
        <w:overflowPunct/>
        <w:topLinePunct w:val="0"/>
        <w:autoSpaceDE/>
        <w:autoSpaceDN/>
        <w:bidi w:val="0"/>
        <w:adjustRightInd/>
        <w:snapToGrid/>
        <w:spacing w:line="360" w:lineRule="auto"/>
        <w:textAlignment w:val="auto"/>
        <w:rPr>
          <w:rFonts w:asciiTheme="minorHAnsi" w:hAnsiTheme="minorHAnsi" w:cstheme="minorBidi"/>
        </w:rPr>
      </w:pPr>
    </w:p>
    <w:p w14:paraId="06201CA5">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4" w:name="_Toc8453"/>
      <w:r>
        <w:rPr>
          <w:rFonts w:asciiTheme="minorHAnsi" w:hAnsiTheme="minorHAnsi" w:cstheme="minorBidi"/>
        </w:rPr>
        <w:t>（二）工作机制</w:t>
      </w:r>
      <w:bookmarkEnd w:id="24"/>
    </w:p>
    <w:p w14:paraId="09AFE0B7">
      <w:pPr>
        <w:keepNext w:val="0"/>
        <w:keepLines w:val="0"/>
        <w:pageBreakBefore w:val="0"/>
        <w:widowControl/>
        <w:numPr>
          <w:ilvl w:val="0"/>
          <w:numId w:val="15"/>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周例会机制：项目组内部每周召开工作例会，检查进度、问题和下周计划。</w:t>
      </w:r>
    </w:p>
    <w:p w14:paraId="2064882C">
      <w:pPr>
        <w:keepNext w:val="0"/>
        <w:keepLines w:val="0"/>
        <w:pageBreakBefore w:val="0"/>
        <w:widowControl/>
        <w:numPr>
          <w:ilvl w:val="0"/>
          <w:numId w:val="15"/>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月度汇报机制：每月向甲方提交阶段工作进展、问题清单和需协调事项。</w:t>
      </w:r>
    </w:p>
    <w:p w14:paraId="65FB2640">
      <w:pPr>
        <w:keepNext w:val="0"/>
        <w:keepLines w:val="0"/>
        <w:pageBreakBefore w:val="0"/>
        <w:widowControl/>
        <w:numPr>
          <w:ilvl w:val="0"/>
          <w:numId w:val="15"/>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专题审查机制：在需求体系、产品原型、试点发布、最终验收等关键节点组织专题汇报。</w:t>
      </w:r>
    </w:p>
    <w:p w14:paraId="53D91B6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问题闭环机制：对甲方意见、用户反馈和质量检查问题建立台账，明确责任人、整改措施和完成时间。</w:t>
      </w:r>
    </w:p>
    <w:p w14:paraId="5547DD52">
      <w:pPr>
        <w:keepNext w:val="0"/>
        <w:keepLines w:val="0"/>
        <w:pageBreakBefore w:val="0"/>
        <w:widowControl/>
        <w:numPr>
          <w:ilvl w:val="0"/>
          <w:numId w:val="15"/>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成果版本管理机制：所有报告、数据、接口说明和产品说明均进行版本编号、更新记录和归档管理。</w:t>
      </w:r>
    </w:p>
    <w:p w14:paraId="765329F8">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25" w:name="_Toc19137"/>
      <w:r>
        <w:rPr>
          <w:rFonts w:asciiTheme="minorHAnsi" w:hAnsiTheme="minorHAnsi" w:cstheme="minorBidi"/>
        </w:rPr>
        <w:t>八、质量控制方案</w:t>
      </w:r>
      <w:bookmarkEnd w:id="25"/>
    </w:p>
    <w:p w14:paraId="209AAE17">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6" w:name="_Toc7849"/>
      <w:r>
        <w:rPr>
          <w:rFonts w:asciiTheme="minorHAnsi" w:hAnsiTheme="minorHAnsi" w:cstheme="minorBidi"/>
        </w:rPr>
        <w:t>（一）质量控制目标</w:t>
      </w:r>
      <w:bookmarkEnd w:id="26"/>
    </w:p>
    <w:p w14:paraId="1EE54F0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确保项目成果系统性、科学性、规范性、可落地性和可验收性，满足甲方专题会验收要求。</w:t>
      </w:r>
    </w:p>
    <w:p w14:paraId="0BA9ACD6">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27" w:name="_Toc13452"/>
      <w:r>
        <w:rPr>
          <w:rFonts w:asciiTheme="minorHAnsi" w:hAnsiTheme="minorHAnsi" w:cstheme="minorBidi"/>
        </w:rPr>
        <w:t>（二）质量控制措施</w:t>
      </w:r>
      <w:bookmarkEnd w:id="27"/>
    </w:p>
    <w:p w14:paraId="304F9D04">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需求质量控制：调研对象覆盖政府、企业、科研机构和平台运营方；调研记录留痕，需求结论可追溯。</w:t>
      </w:r>
    </w:p>
    <w:p w14:paraId="7294D6DE">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数据质量控制：建立数据检查规则，对完整性、准确性、一致性、时效性、空间拓扑、坐标系统和字段规范进行检查。</w:t>
      </w:r>
    </w:p>
    <w:p w14:paraId="3D622BB0">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模型质量控制：明确指标口径、算法逻辑、适用条件和局限性，避免黑箱化和不可解释性。</w:t>
      </w:r>
    </w:p>
    <w:p w14:paraId="4ED2D04B">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产品质量控制：开展接口连通性、参数合法性、返回结果一致性、性能稳定性和异常处理测试。</w:t>
      </w:r>
    </w:p>
    <w:p w14:paraId="5CC8FBCF">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报告质量控制：实行编制、校核、审核、审定四级质量管理，确保结论、图表、数据和附件一致。</w:t>
      </w:r>
    </w:p>
    <w:p w14:paraId="60E88D4C">
      <w:pPr>
        <w:keepNext w:val="0"/>
        <w:keepLines w:val="0"/>
        <w:pageBreakBefore w:val="0"/>
        <w:widowControl/>
        <w:numPr>
          <w:ilvl w:val="0"/>
          <w:numId w:val="16"/>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验收质量控制：提前对照合同成果清单和数字化交付要求开展预验收检查，减少最终验收风险。</w:t>
      </w:r>
    </w:p>
    <w:p w14:paraId="3AC9171C">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28" w:name="_Toc28482"/>
      <w:r>
        <w:rPr>
          <w:rFonts w:asciiTheme="minorHAnsi" w:hAnsiTheme="minorHAnsi" w:cstheme="minorBidi"/>
        </w:rPr>
        <w:t>九、数据安全与保密管理</w:t>
      </w:r>
      <w:bookmarkEnd w:id="28"/>
    </w:p>
    <w:p w14:paraId="5FBE6448">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项目组严格遵守合同保密条款和甲方数据管理制度，所有人员签署内部保密承诺。</w:t>
      </w:r>
    </w:p>
    <w:p w14:paraId="205835A7">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甲方提供的数据资料实行专人接收、专盘存储、权限控制和使用登记。</w:t>
      </w:r>
    </w:p>
    <w:p w14:paraId="3DD1536A">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项目数据不得擅自导出、复制、公开、转让或用于本项目以外用途。</w:t>
      </w:r>
    </w:p>
    <w:p w14:paraId="03C73362">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对涉及敏感信息、非公开数据或可能影响公共安全的数据产品，采用脱敏、汇总、权限控制、内网部署或离线交付等方式处理。</w:t>
      </w:r>
    </w:p>
    <w:p w14:paraId="22DE603A">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产品发布前开展合规审查，明确开放属性、共享范围、调用权限和安全风险。</w:t>
      </w:r>
    </w:p>
    <w:p w14:paraId="29D49FE9">
      <w:pPr>
        <w:keepNext w:val="0"/>
        <w:keepLines w:val="0"/>
        <w:pageBreakBefore w:val="0"/>
        <w:widowControl/>
        <w:numPr>
          <w:ilvl w:val="0"/>
          <w:numId w:val="17"/>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项目结束后按照甲方要求完成数据、资料、中间成果和最终成果移交或清理。</w:t>
      </w:r>
    </w:p>
    <w:p w14:paraId="1CC5B10E">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29" w:name="_Toc30319"/>
      <w:r>
        <w:rPr>
          <w:rFonts w:asciiTheme="minorHAnsi" w:hAnsiTheme="minorHAnsi" w:cstheme="minorBidi"/>
        </w:rPr>
        <w:t>十、成果交付与验收安排</w:t>
      </w:r>
      <w:bookmarkEnd w:id="29"/>
    </w:p>
    <w:p w14:paraId="591093E7">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30" w:name="_Toc30122"/>
      <w:r>
        <w:rPr>
          <w:rFonts w:asciiTheme="minorHAnsi" w:hAnsiTheme="minorHAnsi" w:cstheme="minorBidi"/>
        </w:rPr>
        <w:t>（一）交付原则</w:t>
      </w:r>
      <w:bookmarkEnd w:id="30"/>
    </w:p>
    <w:p w14:paraId="161E47E8">
      <w:pPr>
        <w:keepNext w:val="0"/>
        <w:keepLines w:val="0"/>
        <w:pageBreakBefore w:val="0"/>
        <w:widowControl/>
        <w:numPr>
          <w:ilvl w:val="0"/>
          <w:numId w:val="1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按阶段交付、按意见完善、按最终验收归档。</w:t>
      </w:r>
    </w:p>
    <w:p w14:paraId="75395B02">
      <w:pPr>
        <w:keepNext w:val="0"/>
        <w:keepLines w:val="0"/>
        <w:pageBreakBefore w:val="0"/>
        <w:widowControl/>
        <w:numPr>
          <w:ilvl w:val="0"/>
          <w:numId w:val="1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电子成果与纸质成果保持一致。</w:t>
      </w:r>
    </w:p>
    <w:p w14:paraId="36CD6A65">
      <w:pPr>
        <w:keepNext w:val="0"/>
        <w:keepLines w:val="0"/>
        <w:pageBreakBefore w:val="0"/>
        <w:widowControl/>
        <w:numPr>
          <w:ilvl w:val="0"/>
          <w:numId w:val="1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数据成果、接口服务、产品说明和报告结论相互对应。</w:t>
      </w:r>
    </w:p>
    <w:p w14:paraId="6215ED35">
      <w:pPr>
        <w:keepNext w:val="0"/>
        <w:keepLines w:val="0"/>
        <w:pageBreakBefore w:val="0"/>
        <w:widowControl/>
        <w:numPr>
          <w:ilvl w:val="0"/>
          <w:numId w:val="18"/>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满足数字化交付要求，成果目录清晰、格式规范、元数据完整。</w:t>
      </w:r>
    </w:p>
    <w:p w14:paraId="59577512">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31" w:name="_Toc18848"/>
      <w:r>
        <w:rPr>
          <w:rFonts w:asciiTheme="minorHAnsi" w:hAnsiTheme="minorHAnsi" w:cstheme="minorBidi"/>
        </w:rPr>
        <w:t>（二）验收准备</w:t>
      </w:r>
      <w:bookmarkEnd w:id="31"/>
    </w:p>
    <w:p w14:paraId="322163B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验收前乙方将形成以下材料：</w:t>
      </w:r>
    </w:p>
    <w:p w14:paraId="18FA8050">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项目总结汇报材料。</w:t>
      </w:r>
    </w:p>
    <w:p w14:paraId="15896450">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合同成果交付清单。</w:t>
      </w:r>
    </w:p>
    <w:p w14:paraId="2A728161">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体系设计报告。</w:t>
      </w:r>
    </w:p>
    <w:p w14:paraId="4B8753EE">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不少于4个公共数据服务产品成果。</w:t>
      </w:r>
    </w:p>
    <w:p w14:paraId="49808A65">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产品说明文件。</w:t>
      </w:r>
    </w:p>
    <w:p w14:paraId="50B97E65">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试点与应用验证报告。</w:t>
      </w:r>
    </w:p>
    <w:p w14:paraId="2AD594A2">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数据质量检查说明。</w:t>
      </w:r>
    </w:p>
    <w:p w14:paraId="7B2B7508">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接口或本地化部署服务测试记录。</w:t>
      </w:r>
    </w:p>
    <w:p w14:paraId="1A9D596C">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甲方意见整改说明。</w:t>
      </w:r>
    </w:p>
    <w:p w14:paraId="55CD1BB7">
      <w:pPr>
        <w:keepNext w:val="0"/>
        <w:keepLines w:val="0"/>
        <w:pageBreakBefore w:val="0"/>
        <w:widowControl/>
        <w:numPr>
          <w:ilvl w:val="0"/>
          <w:numId w:val="19"/>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其他甲方要求的专题会材料。</w:t>
      </w:r>
    </w:p>
    <w:p w14:paraId="33EE4775">
      <w:pPr>
        <w:pStyle w:val="3"/>
        <w:keepNext w:val="0"/>
        <w:keepLines w:val="0"/>
        <w:pageBreakBefore w:val="0"/>
        <w:widowControl/>
        <w:kinsoku/>
        <w:wordWrap/>
        <w:overflowPunct/>
        <w:topLinePunct w:val="0"/>
        <w:autoSpaceDE/>
        <w:autoSpaceDN/>
        <w:bidi w:val="0"/>
        <w:adjustRightInd/>
        <w:snapToGrid/>
        <w:spacing w:before="0" w:after="0" w:afterLines="50" w:line="360" w:lineRule="auto"/>
        <w:textAlignment w:val="auto"/>
        <w:rPr>
          <w:rFonts w:asciiTheme="minorHAnsi" w:hAnsiTheme="minorHAnsi" w:cstheme="minorBidi"/>
        </w:rPr>
      </w:pPr>
      <w:bookmarkStart w:id="32" w:name="_Toc26875"/>
      <w:r>
        <w:rPr>
          <w:rFonts w:asciiTheme="minorHAnsi" w:hAnsiTheme="minorHAnsi" w:cstheme="minorBidi"/>
        </w:rPr>
        <w:t>（三）验收标准</w:t>
      </w:r>
      <w:bookmarkEnd w:id="32"/>
    </w:p>
    <w:p w14:paraId="7F59EBD8">
      <w:pPr>
        <w:keepNext w:val="0"/>
        <w:keepLines w:val="0"/>
        <w:pageBreakBefore w:val="0"/>
        <w:widowControl/>
        <w:numPr>
          <w:ilvl w:val="0"/>
          <w:numId w:val="2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成果内容完整，覆盖合同约定的三个专题和全部成果要求。</w:t>
      </w:r>
    </w:p>
    <w:p w14:paraId="62EC5C7C">
      <w:pPr>
        <w:keepNext w:val="0"/>
        <w:keepLines w:val="0"/>
        <w:pageBreakBefore w:val="0"/>
        <w:widowControl/>
        <w:numPr>
          <w:ilvl w:val="0"/>
          <w:numId w:val="2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不少于4个数据服务产品完成开发、试点和应用验证。</w:t>
      </w:r>
    </w:p>
    <w:p w14:paraId="2CC644F6">
      <w:pPr>
        <w:keepNext w:val="0"/>
        <w:keepLines w:val="0"/>
        <w:pageBreakBefore w:val="0"/>
        <w:widowControl/>
        <w:numPr>
          <w:ilvl w:val="0"/>
          <w:numId w:val="2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产品成果具备明确数据来源、指标口径、服务对象、使用方法和适用边界。</w:t>
      </w:r>
    </w:p>
    <w:p w14:paraId="4CD69E2C">
      <w:pPr>
        <w:keepNext w:val="0"/>
        <w:keepLines w:val="0"/>
        <w:pageBreakBefore w:val="0"/>
        <w:widowControl/>
        <w:numPr>
          <w:ilvl w:val="0"/>
          <w:numId w:val="2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报告结论能够支撑深圳规资公共数据产品体系建设和后续推广应用。</w:t>
      </w:r>
    </w:p>
    <w:p w14:paraId="0F3A3C17">
      <w:pPr>
        <w:keepNext w:val="0"/>
        <w:keepLines w:val="0"/>
        <w:pageBreakBefore w:val="0"/>
        <w:widowControl/>
        <w:numPr>
          <w:ilvl w:val="0"/>
          <w:numId w:val="20"/>
        </w:numPr>
        <w:kinsoku/>
        <w:wordWrap/>
        <w:overflowPunct/>
        <w:topLinePunct w:val="0"/>
        <w:autoSpaceDE/>
        <w:autoSpaceDN/>
        <w:bidi w:val="0"/>
        <w:adjustRightInd/>
        <w:snapToGrid/>
        <w:spacing w:line="360" w:lineRule="auto"/>
        <w:ind w:left="480" w:leftChars="0" w:firstLine="0" w:firstLineChars="0"/>
        <w:textAlignment w:val="auto"/>
        <w:rPr>
          <w:rFonts w:asciiTheme="minorHAnsi" w:hAnsiTheme="minorHAnsi" w:cstheme="minorBidi"/>
        </w:rPr>
      </w:pPr>
      <w:r>
        <w:rPr>
          <w:rFonts w:asciiTheme="minorHAnsi" w:hAnsiTheme="minorHAnsi" w:cstheme="minorBidi"/>
        </w:rPr>
        <w:t>成果通过深圳市规划和自然资源局专题会验收。</w:t>
      </w:r>
    </w:p>
    <w:p w14:paraId="36246ADD">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33" w:name="_Toc18595"/>
      <w:r>
        <w:rPr>
          <w:rFonts w:asciiTheme="minorHAnsi" w:hAnsiTheme="minorHAnsi" w:cstheme="minorBidi"/>
        </w:rPr>
        <w:t>十一、风险识别与应对措施</w:t>
      </w:r>
      <w:bookmarkEnd w:id="33"/>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19"/>
        <w:gridCol w:w="3568"/>
        <w:gridCol w:w="4555"/>
      </w:tblGrid>
      <w:tr w14:paraId="31D66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4"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F934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风险类型</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71D1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可能表现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8F0B3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1A1C1F"/>
                <w:sz w:val="21"/>
                <w:szCs w:val="21"/>
                <w:u w:val="none"/>
              </w:rPr>
            </w:pPr>
            <w:r>
              <w:rPr>
                <w:rFonts w:hint="eastAsia" w:asciiTheme="minorEastAsia" w:hAnsiTheme="minorEastAsia" w:eastAsiaTheme="minorEastAsia" w:cstheme="minorEastAsia"/>
                <w:b/>
                <w:bCs/>
                <w:i w:val="0"/>
                <w:iCs w:val="0"/>
                <w:color w:val="1A1C1F"/>
                <w:kern w:val="0"/>
                <w:sz w:val="21"/>
                <w:szCs w:val="21"/>
                <w:u w:val="none"/>
                <w:bdr w:val="none" w:color="auto" w:sz="0" w:space="0"/>
                <w:lang w:val="en-US" w:eastAsia="zh-CN" w:bidi="ar"/>
              </w:rPr>
              <w:t>应对措施</w:t>
            </w:r>
          </w:p>
        </w:tc>
      </w:tr>
      <w:tr w14:paraId="7BBD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FF002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数据获取风险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1F76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数据资料提供时间晚、字段不完整、跨部门数据协调难度高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7C369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提前提交资料清单，建立数据替代方案，采用分批获取和滚动处理方式</w:t>
            </w:r>
          </w:p>
        </w:tc>
      </w:tr>
      <w:tr w14:paraId="1F26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1CC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数据质量风险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075BD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数据坐标、字段、时效、拓扑或口径不一致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6A8F8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建立数据质量检查规则，形成问题台账，及时与甲方确认处理口径</w:t>
            </w:r>
          </w:p>
        </w:tc>
      </w:tr>
      <w:tr w14:paraId="1D1CC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7B1E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需求变化风险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C4D6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试点场景或产品方向调整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D86FB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采用产品池机制，保留备选产品方向，通过专题会确认变更</w:t>
            </w:r>
          </w:p>
        </w:tc>
      </w:tr>
      <w:tr w14:paraId="408AB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EE4C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平台对接风险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5CF1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CIM 平台或公共数据开放平台接口、权限、部署环境限制</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045A8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提前开展平台条件摸查，提供 API、本地化服务和离线成果包多种交付方式</w:t>
            </w:r>
          </w:p>
        </w:tc>
      </w:tr>
      <w:tr w14:paraId="70E4B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DB32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合规安全风险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39E6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数据开放范围、敏感信息处理或第三方使用存在不确定性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618D3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建立发布前合规审查机制，采用脱敏、聚合、权限控制和内网部署</w:t>
            </w:r>
          </w:p>
        </w:tc>
      </w:tr>
      <w:tr w14:paraId="767A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7C5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进度风险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F04B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甲方审查、资料确认或用户试用反馈周期影响进度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D987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建立月度汇报和关键事项确认机制，对合同约定情形及时履行书面顺延程序</w:t>
            </w:r>
          </w:p>
        </w:tc>
      </w:tr>
      <w:tr w14:paraId="050A0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1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8FD6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验收风险</w:t>
            </w:r>
          </w:p>
        </w:tc>
        <w:tc>
          <w:tcPr>
            <w:tcW w:w="3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777F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成果表达与甲方专题会要求不一致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81F7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1A1C1F"/>
                <w:sz w:val="21"/>
                <w:szCs w:val="21"/>
                <w:u w:val="none"/>
              </w:rPr>
            </w:pPr>
            <w:r>
              <w:rPr>
                <w:rFonts w:hint="eastAsia" w:asciiTheme="minorEastAsia" w:hAnsiTheme="minorEastAsia" w:eastAsiaTheme="minorEastAsia" w:cstheme="minorEastAsia"/>
                <w:i w:val="0"/>
                <w:iCs w:val="0"/>
                <w:color w:val="1A1C1F"/>
                <w:kern w:val="0"/>
                <w:sz w:val="21"/>
                <w:szCs w:val="21"/>
                <w:u w:val="none"/>
                <w:bdr w:val="none" w:color="auto" w:sz="0" w:space="0"/>
                <w:lang w:val="en-US" w:eastAsia="zh-CN" w:bidi="ar"/>
              </w:rPr>
              <w:t>采用阶段预审、成果预验收和问题闭环整改机制</w:t>
            </w:r>
          </w:p>
        </w:tc>
      </w:tr>
    </w:tbl>
    <w:p w14:paraId="58571238"/>
    <w:p w14:paraId="40DAE20F">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34" w:name="_Toc561"/>
      <w:r>
        <w:rPr>
          <w:rFonts w:asciiTheme="minorHAnsi" w:hAnsiTheme="minorHAnsi" w:cstheme="minorBidi"/>
        </w:rPr>
        <w:t>十二、后续服务安排</w:t>
      </w:r>
      <w:bookmarkEnd w:id="34"/>
    </w:p>
    <w:p w14:paraId="07F4AED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项目最终成果验收后1年内，乙方按照合同约定继续提供必要解释、咨询和服务支持。对甲方提出的与本项目相关的问题，乙方在1日内响应，并根据问题类型组织远程或现场处理。对需要持续优化的数据产品，乙方协助甲方梳理后续建设需求、推广路径和运营机制建议。</w:t>
      </w:r>
    </w:p>
    <w:p w14:paraId="58C746F4">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35" w:name="_Toc22246"/>
      <w:r>
        <w:rPr>
          <w:rFonts w:asciiTheme="minorHAnsi" w:hAnsiTheme="minorHAnsi" w:cstheme="minorBidi"/>
        </w:rPr>
        <w:t>十三、需甲方协调事项</w:t>
      </w:r>
      <w:bookmarkEnd w:id="35"/>
    </w:p>
    <w:p w14:paraId="04D47D2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为保障项目顺利实施，建议甲方协调以下事项：</w:t>
      </w:r>
    </w:p>
    <w:p w14:paraId="0BA3A67F">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指定项目联系人和业务协调窗口。</w:t>
      </w:r>
    </w:p>
    <w:p w14:paraId="0AD466D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组织项目启动会和关键节点专题审查会。</w:t>
      </w:r>
    </w:p>
    <w:p w14:paraId="4508C88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协调提供项目所需数据目录、样例数据、平台接口资料、既有成果和管理制度。</w:t>
      </w:r>
    </w:p>
    <w:p w14:paraId="05315FA8">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协调相关业务处室、平台运营单位和试点用户参与需求调研与产品试用。</w:t>
      </w:r>
    </w:p>
    <w:p w14:paraId="5F2A25F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明确试点产品发布平台、数据安全边界和成果汇交要求。</w:t>
      </w:r>
    </w:p>
    <w:p w14:paraId="76C7B8D8">
      <w:pPr>
        <w:keepNext w:val="0"/>
        <w:keepLines w:val="0"/>
        <w:pageBreakBefore w:val="0"/>
        <w:widowControl/>
        <w:numPr>
          <w:ilvl w:val="0"/>
          <w:numId w:val="21"/>
        </w:numPr>
        <w:kinsoku/>
        <w:wordWrap/>
        <w:overflowPunct/>
        <w:topLinePunct w:val="0"/>
        <w:autoSpaceDE/>
        <w:autoSpaceDN/>
        <w:bidi w:val="0"/>
        <w:adjustRightInd/>
        <w:snapToGrid/>
        <w:spacing w:line="360" w:lineRule="auto"/>
        <w:ind w:left="480" w:leftChars="0" w:firstLine="15" w:firstLineChars="0"/>
        <w:textAlignment w:val="auto"/>
        <w:rPr>
          <w:rFonts w:asciiTheme="minorHAnsi" w:hAnsiTheme="minorHAnsi" w:cstheme="minorBidi"/>
        </w:rPr>
      </w:pPr>
      <w:r>
        <w:rPr>
          <w:rFonts w:asciiTheme="minorHAnsi" w:hAnsiTheme="minorHAnsi" w:cstheme="minorBidi"/>
        </w:rPr>
        <w:t>及时审定实施方案、阶段成果和最终成果，并反馈修改意见。</w:t>
      </w:r>
    </w:p>
    <w:p w14:paraId="777E500D">
      <w:pPr>
        <w:pStyle w:val="2"/>
        <w:keepNext w:val="0"/>
        <w:keepLines w:val="0"/>
        <w:pageBreakBefore w:val="0"/>
        <w:widowControl/>
        <w:kinsoku/>
        <w:wordWrap/>
        <w:overflowPunct/>
        <w:topLinePunct w:val="0"/>
        <w:autoSpaceDE/>
        <w:autoSpaceDN/>
        <w:bidi w:val="0"/>
        <w:adjustRightInd/>
        <w:snapToGrid/>
        <w:spacing w:before="0" w:beforeLines="50" w:after="0" w:afterLines="50" w:line="360" w:lineRule="auto"/>
        <w:textAlignment w:val="auto"/>
        <w:rPr>
          <w:rFonts w:asciiTheme="minorHAnsi" w:hAnsiTheme="minorHAnsi" w:cstheme="minorBidi"/>
        </w:rPr>
      </w:pPr>
      <w:bookmarkStart w:id="36" w:name="_Toc29661"/>
      <w:r>
        <w:rPr>
          <w:rFonts w:asciiTheme="minorHAnsi" w:hAnsiTheme="minorHAnsi" w:cstheme="minorBidi"/>
        </w:rPr>
        <w:t>十四、结语</w:t>
      </w:r>
      <w:bookmarkEnd w:id="36"/>
    </w:p>
    <w:p w14:paraId="7A100C4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heme="minorHAnsi" w:hAnsiTheme="minorHAnsi" w:cstheme="minorBidi"/>
        </w:rPr>
      </w:pPr>
      <w:r>
        <w:rPr>
          <w:rFonts w:asciiTheme="minorHAnsi" w:hAnsiTheme="minorHAnsi" w:cstheme="minorBidi"/>
        </w:rPr>
        <w:t>本实施方案以合同和项目计划书为基础，围绕“体系设计、产品研发、试点验证、成果固化”四条主线组织实施，兼顾公共数据价值释放、技术可行性、成果可验收性和数据安全合规要求。乙方将按照甲方审定意见进一步细化实施计划，组织专业团队按期、高质量完成规划和自然资源公共数据产品建设相关工作。</w:t>
      </w:r>
    </w:p>
    <w:sectPr>
      <w:pgSz w:w="11906" w:h="16838"/>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晓飞" w:date="2026-06-02T11:33:51Z" w:initials="">
    <w:p w14:paraId="5089C7AA">
      <w:pPr>
        <w:pStyle w:val="5"/>
        <w:rPr>
          <w:rFonts w:hint="default" w:eastAsia="宋体"/>
          <w:lang w:val="en-US" w:eastAsia="zh-CN"/>
        </w:rPr>
      </w:pPr>
      <w:r>
        <w:rPr>
          <w:rFonts w:hint="eastAsia"/>
          <w:lang w:val="en-US" w:eastAsia="zh-CN"/>
        </w:rPr>
        <w:t>公共数据产品方向需要内部确认</w:t>
      </w:r>
    </w:p>
  </w:comment>
  <w:comment w:id="1" w:author="胡晓飞" w:date="2026-06-02T11:34:29Z" w:initials="">
    <w:p w14:paraId="4045413F">
      <w:pPr>
        <w:pStyle w:val="5"/>
        <w:rPr>
          <w:rFonts w:hint="default" w:eastAsia="宋体"/>
          <w:lang w:val="en-US" w:eastAsia="zh-CN"/>
        </w:rPr>
      </w:pPr>
      <w:r>
        <w:rPr>
          <w:rFonts w:hint="eastAsia"/>
          <w:lang w:val="en-US" w:eastAsia="zh-CN"/>
        </w:rPr>
        <w:t>主要实施内容我们需要内部确认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89C7AA" w15:done="0"/>
  <w15:commentEx w15:paraId="404541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D06FAE"/>
    <w:multiLevelType w:val="singleLevel"/>
    <w:tmpl w:val="91D06FAE"/>
    <w:lvl w:ilvl="0" w:tentative="0">
      <w:start w:val="1"/>
      <w:numFmt w:val="decimal"/>
      <w:lvlText w:val="(%1)"/>
      <w:lvlJc w:val="left"/>
      <w:pPr>
        <w:ind w:left="425" w:hanging="425"/>
      </w:pPr>
      <w:rPr>
        <w:rFonts w:hint="default"/>
      </w:rPr>
    </w:lvl>
  </w:abstractNum>
  <w:abstractNum w:abstractNumId="1">
    <w:nsid w:val="9273D0C9"/>
    <w:multiLevelType w:val="singleLevel"/>
    <w:tmpl w:val="9273D0C9"/>
    <w:lvl w:ilvl="0" w:tentative="0">
      <w:start w:val="1"/>
      <w:numFmt w:val="decimal"/>
      <w:lvlText w:val="(%1)"/>
      <w:lvlJc w:val="left"/>
      <w:pPr>
        <w:ind w:left="425" w:hanging="425"/>
      </w:pPr>
      <w:rPr>
        <w:rFonts w:hint="default"/>
      </w:rPr>
    </w:lvl>
  </w:abstractNum>
  <w:abstractNum w:abstractNumId="2">
    <w:nsid w:val="9EAC8755"/>
    <w:multiLevelType w:val="singleLevel"/>
    <w:tmpl w:val="9EAC8755"/>
    <w:lvl w:ilvl="0" w:tentative="0">
      <w:start w:val="1"/>
      <w:numFmt w:val="decimal"/>
      <w:lvlText w:val="(%1)"/>
      <w:lvlJc w:val="left"/>
      <w:pPr>
        <w:ind w:left="425" w:hanging="425"/>
      </w:pPr>
      <w:rPr>
        <w:rFonts w:hint="default"/>
      </w:rPr>
    </w:lvl>
  </w:abstractNum>
  <w:abstractNum w:abstractNumId="3">
    <w:nsid w:val="B63CFE08"/>
    <w:multiLevelType w:val="singleLevel"/>
    <w:tmpl w:val="B63CFE08"/>
    <w:lvl w:ilvl="0" w:tentative="0">
      <w:start w:val="1"/>
      <w:numFmt w:val="decimal"/>
      <w:lvlText w:val="(%1)"/>
      <w:lvlJc w:val="left"/>
      <w:pPr>
        <w:ind w:left="425" w:hanging="425"/>
      </w:pPr>
      <w:rPr>
        <w:rFonts w:hint="default"/>
      </w:rPr>
    </w:lvl>
  </w:abstractNum>
  <w:abstractNum w:abstractNumId="4">
    <w:nsid w:val="BF8358F8"/>
    <w:multiLevelType w:val="singleLevel"/>
    <w:tmpl w:val="BF8358F8"/>
    <w:lvl w:ilvl="0" w:tentative="0">
      <w:start w:val="1"/>
      <w:numFmt w:val="decimal"/>
      <w:lvlText w:val="(%1)"/>
      <w:lvlJc w:val="left"/>
      <w:pPr>
        <w:ind w:left="425" w:hanging="425"/>
      </w:pPr>
      <w:rPr>
        <w:rFonts w:hint="default"/>
      </w:rPr>
    </w:lvl>
  </w:abstractNum>
  <w:abstractNum w:abstractNumId="5">
    <w:nsid w:val="BF843F4E"/>
    <w:multiLevelType w:val="singleLevel"/>
    <w:tmpl w:val="BF843F4E"/>
    <w:lvl w:ilvl="0" w:tentative="0">
      <w:start w:val="1"/>
      <w:numFmt w:val="decimal"/>
      <w:lvlText w:val="(%1)"/>
      <w:lvlJc w:val="left"/>
      <w:pPr>
        <w:ind w:left="425" w:hanging="425"/>
      </w:pPr>
      <w:rPr>
        <w:rFonts w:hint="default"/>
      </w:rPr>
    </w:lvl>
  </w:abstractNum>
  <w:abstractNum w:abstractNumId="6">
    <w:nsid w:val="C7E6A106"/>
    <w:multiLevelType w:val="singleLevel"/>
    <w:tmpl w:val="C7E6A106"/>
    <w:lvl w:ilvl="0" w:tentative="0">
      <w:start w:val="1"/>
      <w:numFmt w:val="decimal"/>
      <w:lvlText w:val="(%1)"/>
      <w:lvlJc w:val="left"/>
      <w:pPr>
        <w:ind w:left="425" w:hanging="425"/>
      </w:pPr>
      <w:rPr>
        <w:rFonts w:hint="default"/>
      </w:rPr>
    </w:lvl>
  </w:abstractNum>
  <w:abstractNum w:abstractNumId="7">
    <w:nsid w:val="D193E97A"/>
    <w:multiLevelType w:val="singleLevel"/>
    <w:tmpl w:val="D193E97A"/>
    <w:lvl w:ilvl="0" w:tentative="0">
      <w:start w:val="1"/>
      <w:numFmt w:val="decimal"/>
      <w:lvlText w:val="(%1)"/>
      <w:lvlJc w:val="left"/>
      <w:pPr>
        <w:ind w:left="425" w:hanging="425"/>
      </w:pPr>
      <w:rPr>
        <w:rFonts w:hint="default"/>
      </w:rPr>
    </w:lvl>
  </w:abstractNum>
  <w:abstractNum w:abstractNumId="8">
    <w:nsid w:val="EC80F405"/>
    <w:multiLevelType w:val="singleLevel"/>
    <w:tmpl w:val="EC80F405"/>
    <w:lvl w:ilvl="0" w:tentative="0">
      <w:start w:val="1"/>
      <w:numFmt w:val="decimal"/>
      <w:lvlText w:val="(%1)"/>
      <w:lvlJc w:val="left"/>
      <w:pPr>
        <w:ind w:left="425" w:hanging="425"/>
      </w:pPr>
      <w:rPr>
        <w:rFonts w:hint="default"/>
      </w:rPr>
    </w:lvl>
  </w:abstractNum>
  <w:abstractNum w:abstractNumId="9">
    <w:nsid w:val="07A2CDEE"/>
    <w:multiLevelType w:val="singleLevel"/>
    <w:tmpl w:val="07A2CDEE"/>
    <w:lvl w:ilvl="0" w:tentative="0">
      <w:start w:val="1"/>
      <w:numFmt w:val="decimal"/>
      <w:lvlText w:val="(%1)"/>
      <w:lvlJc w:val="left"/>
      <w:pPr>
        <w:ind w:left="425" w:hanging="425"/>
      </w:pPr>
      <w:rPr>
        <w:rFonts w:hint="default"/>
      </w:rPr>
    </w:lvl>
  </w:abstractNum>
  <w:abstractNum w:abstractNumId="10">
    <w:nsid w:val="0F46633C"/>
    <w:multiLevelType w:val="singleLevel"/>
    <w:tmpl w:val="0F46633C"/>
    <w:lvl w:ilvl="0" w:tentative="0">
      <w:start w:val="1"/>
      <w:numFmt w:val="decimal"/>
      <w:lvlText w:val="(%1)"/>
      <w:lvlJc w:val="left"/>
      <w:pPr>
        <w:ind w:left="425" w:hanging="425"/>
      </w:pPr>
      <w:rPr>
        <w:rFonts w:hint="default"/>
      </w:rPr>
    </w:lvl>
  </w:abstractNum>
  <w:abstractNum w:abstractNumId="11">
    <w:nsid w:val="144D27DE"/>
    <w:multiLevelType w:val="singleLevel"/>
    <w:tmpl w:val="144D27DE"/>
    <w:lvl w:ilvl="0" w:tentative="0">
      <w:start w:val="1"/>
      <w:numFmt w:val="decimal"/>
      <w:lvlText w:val="(%1)"/>
      <w:lvlJc w:val="left"/>
      <w:pPr>
        <w:ind w:left="425" w:hanging="425"/>
      </w:pPr>
      <w:rPr>
        <w:rFonts w:hint="default"/>
      </w:rPr>
    </w:lvl>
  </w:abstractNum>
  <w:abstractNum w:abstractNumId="12">
    <w:nsid w:val="19DD0BC4"/>
    <w:multiLevelType w:val="singleLevel"/>
    <w:tmpl w:val="19DD0BC4"/>
    <w:lvl w:ilvl="0" w:tentative="0">
      <w:start w:val="1"/>
      <w:numFmt w:val="decimal"/>
      <w:lvlText w:val="(%1)"/>
      <w:lvlJc w:val="left"/>
      <w:pPr>
        <w:ind w:left="425" w:hanging="425"/>
      </w:pPr>
      <w:rPr>
        <w:rFonts w:hint="default"/>
      </w:rPr>
    </w:lvl>
  </w:abstractNum>
  <w:abstractNum w:abstractNumId="13">
    <w:nsid w:val="19FCCABD"/>
    <w:multiLevelType w:val="singleLevel"/>
    <w:tmpl w:val="19FCCABD"/>
    <w:lvl w:ilvl="0" w:tentative="0">
      <w:start w:val="1"/>
      <w:numFmt w:val="decimal"/>
      <w:lvlText w:val="(%1)"/>
      <w:lvlJc w:val="left"/>
      <w:pPr>
        <w:ind w:left="425" w:hanging="425"/>
      </w:pPr>
      <w:rPr>
        <w:rFonts w:hint="default"/>
      </w:rPr>
    </w:lvl>
  </w:abstractNum>
  <w:abstractNum w:abstractNumId="14">
    <w:nsid w:val="22B9C88D"/>
    <w:multiLevelType w:val="singleLevel"/>
    <w:tmpl w:val="22B9C88D"/>
    <w:lvl w:ilvl="0" w:tentative="0">
      <w:start w:val="1"/>
      <w:numFmt w:val="decimal"/>
      <w:lvlText w:val="(%1)"/>
      <w:lvlJc w:val="left"/>
      <w:pPr>
        <w:ind w:left="425" w:hanging="425"/>
      </w:pPr>
      <w:rPr>
        <w:rFonts w:hint="default"/>
      </w:rPr>
    </w:lvl>
  </w:abstractNum>
  <w:abstractNum w:abstractNumId="15">
    <w:nsid w:val="2A0B7B1D"/>
    <w:multiLevelType w:val="singleLevel"/>
    <w:tmpl w:val="2A0B7B1D"/>
    <w:lvl w:ilvl="0" w:tentative="0">
      <w:start w:val="1"/>
      <w:numFmt w:val="decimal"/>
      <w:lvlText w:val="(%1)"/>
      <w:lvlJc w:val="left"/>
      <w:pPr>
        <w:ind w:left="425" w:hanging="425"/>
      </w:pPr>
      <w:rPr>
        <w:rFonts w:hint="default"/>
      </w:rPr>
    </w:lvl>
  </w:abstractNum>
  <w:abstractNum w:abstractNumId="16">
    <w:nsid w:val="2EA19309"/>
    <w:multiLevelType w:val="singleLevel"/>
    <w:tmpl w:val="2EA19309"/>
    <w:lvl w:ilvl="0" w:tentative="0">
      <w:start w:val="1"/>
      <w:numFmt w:val="decimal"/>
      <w:lvlText w:val="(%1)"/>
      <w:lvlJc w:val="left"/>
      <w:pPr>
        <w:ind w:left="425" w:hanging="425"/>
      </w:pPr>
      <w:rPr>
        <w:rFonts w:hint="default"/>
      </w:rPr>
    </w:lvl>
  </w:abstractNum>
  <w:abstractNum w:abstractNumId="17">
    <w:nsid w:val="3ECD8849"/>
    <w:multiLevelType w:val="singleLevel"/>
    <w:tmpl w:val="3ECD8849"/>
    <w:lvl w:ilvl="0" w:tentative="0">
      <w:start w:val="1"/>
      <w:numFmt w:val="decimal"/>
      <w:lvlText w:val="(%1)"/>
      <w:lvlJc w:val="left"/>
      <w:pPr>
        <w:ind w:left="425" w:hanging="425"/>
      </w:pPr>
      <w:rPr>
        <w:rFonts w:hint="default"/>
      </w:rPr>
    </w:lvl>
  </w:abstractNum>
  <w:abstractNum w:abstractNumId="18">
    <w:nsid w:val="543D1AA3"/>
    <w:multiLevelType w:val="singleLevel"/>
    <w:tmpl w:val="543D1AA3"/>
    <w:lvl w:ilvl="0" w:tentative="0">
      <w:start w:val="1"/>
      <w:numFmt w:val="decimal"/>
      <w:lvlText w:val="(%1)"/>
      <w:lvlJc w:val="left"/>
      <w:pPr>
        <w:ind w:left="425" w:hanging="425"/>
      </w:pPr>
      <w:rPr>
        <w:rFonts w:hint="default"/>
      </w:rPr>
    </w:lvl>
  </w:abstractNum>
  <w:abstractNum w:abstractNumId="19">
    <w:nsid w:val="7564E3C0"/>
    <w:multiLevelType w:val="singleLevel"/>
    <w:tmpl w:val="7564E3C0"/>
    <w:lvl w:ilvl="0" w:tentative="0">
      <w:start w:val="1"/>
      <w:numFmt w:val="decimal"/>
      <w:lvlText w:val="(%1)"/>
      <w:lvlJc w:val="left"/>
      <w:pPr>
        <w:ind w:left="425" w:hanging="425"/>
      </w:pPr>
      <w:rPr>
        <w:rFonts w:hint="default"/>
      </w:rPr>
    </w:lvl>
  </w:abstractNum>
  <w:abstractNum w:abstractNumId="20">
    <w:nsid w:val="7AB7E3FE"/>
    <w:multiLevelType w:val="singleLevel"/>
    <w:tmpl w:val="7AB7E3FE"/>
    <w:lvl w:ilvl="0" w:tentative="0">
      <w:start w:val="1"/>
      <w:numFmt w:val="decimal"/>
      <w:lvlText w:val="(%1)"/>
      <w:lvlJc w:val="left"/>
      <w:pPr>
        <w:ind w:left="425" w:hanging="425"/>
      </w:pPr>
      <w:rPr>
        <w:rFonts w:hint="default"/>
      </w:rPr>
    </w:lvl>
  </w:abstractNum>
  <w:num w:numId="1">
    <w:abstractNumId w:val="20"/>
  </w:num>
  <w:num w:numId="2">
    <w:abstractNumId w:val="15"/>
  </w:num>
  <w:num w:numId="3">
    <w:abstractNumId w:val="18"/>
  </w:num>
  <w:num w:numId="4">
    <w:abstractNumId w:val="17"/>
  </w:num>
  <w:num w:numId="5">
    <w:abstractNumId w:val="12"/>
  </w:num>
  <w:num w:numId="6">
    <w:abstractNumId w:val="9"/>
  </w:num>
  <w:num w:numId="7">
    <w:abstractNumId w:val="7"/>
  </w:num>
  <w:num w:numId="8">
    <w:abstractNumId w:val="13"/>
  </w:num>
  <w:num w:numId="9">
    <w:abstractNumId w:val="6"/>
  </w:num>
  <w:num w:numId="10">
    <w:abstractNumId w:val="2"/>
  </w:num>
  <w:num w:numId="11">
    <w:abstractNumId w:val="11"/>
  </w:num>
  <w:num w:numId="12">
    <w:abstractNumId w:val="3"/>
  </w:num>
  <w:num w:numId="13">
    <w:abstractNumId w:val="10"/>
  </w:num>
  <w:num w:numId="14">
    <w:abstractNumId w:val="4"/>
  </w:num>
  <w:num w:numId="15">
    <w:abstractNumId w:val="1"/>
  </w:num>
  <w:num w:numId="16">
    <w:abstractNumId w:val="14"/>
  </w:num>
  <w:num w:numId="17">
    <w:abstractNumId w:val="19"/>
  </w:num>
  <w:num w:numId="18">
    <w:abstractNumId w:val="8"/>
  </w:num>
  <w:num w:numId="19">
    <w:abstractNumId w:val="0"/>
  </w:num>
  <w:num w:numId="20">
    <w:abstractNumId w:val="16"/>
  </w:num>
  <w:num w:numId="21">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晓飞">
    <w15:presenceInfo w15:providerId="WPS Office" w15:userId="26189150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86A33"/>
    <w:rsid w:val="15F05B33"/>
    <w:rsid w:val="20B16579"/>
    <w:rsid w:val="2C773C8E"/>
    <w:rsid w:val="2CCF2023"/>
    <w:rsid w:val="401F7786"/>
    <w:rsid w:val="6AB204F0"/>
    <w:rsid w:val="72B86CD3"/>
    <w:rsid w:val="7F6F71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宋体"/>
      <w:sz w:val="24"/>
      <w:szCs w:val="22"/>
    </w:rPr>
  </w:style>
  <w:style w:type="paragraph" w:styleId="2">
    <w:name w:val="heading 1"/>
    <w:qFormat/>
    <w:uiPriority w:val="0"/>
    <w:rPr>
      <w:rFonts w:eastAsia="黑体"/>
      <w:b/>
      <w:sz w:val="32"/>
      <w:szCs w:val="22"/>
    </w:rPr>
  </w:style>
  <w:style w:type="paragraph" w:styleId="3">
    <w:name w:val="heading 2"/>
    <w:qFormat/>
    <w:uiPriority w:val="0"/>
    <w:rPr>
      <w:rFonts w:eastAsia="黑体"/>
      <w:b/>
      <w:sz w:val="28"/>
      <w:szCs w:val="22"/>
    </w:rPr>
  </w:style>
  <w:style w:type="paragraph" w:styleId="4">
    <w:name w:val="heading 3"/>
    <w:qFormat/>
    <w:uiPriority w:val="0"/>
    <w:rPr>
      <w:rFonts w:eastAsia="黑体"/>
      <w:b/>
      <w:sz w:val="24"/>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Title"/>
    <w:qFormat/>
    <w:uiPriority w:val="0"/>
    <w:rPr>
      <w:rFonts w:eastAsia="黑体"/>
      <w:b/>
      <w:sz w:val="36"/>
      <w:szCs w:val="22"/>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8665</Words>
  <Characters>8936</Characters>
  <TotalTime>3</TotalTime>
  <ScaleCrop>false</ScaleCrop>
  <LinksUpToDate>false</LinksUpToDate>
  <CharactersWithSpaces>9347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2026-06-02T01:47:30Z</dcterms:created>
  <dc:creator>Administrator</dc:creator>
  <cp:lastModifiedBy>胡晓飞</cp:lastModifiedBy>
  <dcterms:modified xsi:type="dcterms:W3CDTF">2026-06-02T03:39:06Z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eyJoZGlkIjoiN2YwMDljZDg5N2ViZGJjYzU0OTNjNjIzMThmMTZiNjUiLCJ1c2VySWQiOiIzOTE4Nzg2MDEifQ==</vt:lpwstr>
  </property>
  <property fmtid="{D5CDD505-2E9C-101B-9397-08002B2CF9AE}" pid="3" name="KSOProductBuildVer">
    <vt:lpwstr>2052-12.1.0.26375</vt:lpwstr>
  </property>
  <property fmtid="{D5CDD505-2E9C-101B-9397-08002B2CF9AE}" pid="4" name="ICV">
    <vt:lpwstr>F106524D709B43F5BB8090E0F3C1D905_13</vt:lpwstr>
  </property>
</Properties>
</file>