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left"/>
      </w:pPr>
      <w:r>
        <w:rPr>
          <w:rFonts w:ascii="Arial" w:cs="Arial" w:eastAsia="Arial" w:hAnsi="Arial"/>
          <w:b/>
          <w:bCs/>
          <w:color w:val="004B8D"/>
          <w:sz w:val="64"/>
          <w:szCs w:val="64"/>
        </w:rPr>
        <w:t xml:space="preserve">goAML XML</w:t>
      </w:r>
    </w:p>
    <w:p>
      <w:pPr>
        <w:spacing w:before="0" w:after="80"/>
      </w:pPr>
      <w:r>
        <w:rPr>
          <w:rFonts w:ascii="Arial" w:cs="Arial" w:eastAsia="Arial" w:hAnsi="Arial"/>
          <w:b/>
          <w:bCs/>
          <w:color w:val="003366"/>
          <w:sz w:val="52"/>
          <w:szCs w:val="52"/>
        </w:rPr>
        <w:t xml:space="preserve">Report Generator</w:t>
      </w:r>
    </w:p>
    <w:p>
      <w:pPr>
        <w:spacing w:before="80" w:after="400"/>
      </w:pPr>
      <w:r>
        <w:rPr>
          <w:rFonts w:ascii="Arial" w:cs="Arial" w:eastAsia="Arial" w:hAnsi="Arial"/>
          <w:color w:val="555555"/>
          <w:sz w:val="28"/>
          <w:szCs w:val="28"/>
        </w:rPr>
        <w:t xml:space="preserve">User Manual</w:t>
      </w:r>
    </w:p>
    <w:p>
      <w:pPr>
        <w:pBdr>
          <w:bottom w:val="single" w:color="004B8D" w:sz="12" w:space="1"/>
        </w:pBdr>
        <w:spacing w:before="0" w:after="6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w:tc>
          <w:tcPr>
            <w:tcW w:type="dxa" w:w="4600"/>
            <w:tcBorders>
              <w:top w:val="none"/>
              <w:left w:val="none"/>
              <w:bottom w:val="none"/>
              <w:right w:val="none"/>
            </w:tcBorders>
            <w:shd w:fill="FFFFFF" w:val="clear"/>
          </w:tcPr>
          <w:p>
            <w:r>
              <w:rPr>
                <w:rFonts w:ascii="Arial" w:cs="Arial" w:eastAsia="Arial" w:hAnsi="Arial"/>
                <w:color w:val="888888"/>
                <w:sz w:val="18"/>
                <w:szCs w:val="18"/>
              </w:rPr>
              <w:t xml:space="preserve">Platform</w:t>
            </w:r>
          </w:p>
          <w:p>
            <w:pPr>
              <w:spacing w:before="40"/>
            </w:pPr>
            <w:r>
              <w:rPr>
                <w:rFonts w:ascii="Arial" w:cs="Arial" w:eastAsia="Arial" w:hAnsi="Arial"/>
                <w:b/>
                <w:bCs/>
                <w:color w:val="1A1A1A"/>
                <w:sz w:val="20"/>
                <w:szCs w:val="20"/>
              </w:rPr>
              <w:t xml:space="preserve">Standalone HTML</w:t>
            </w:r>
          </w:p>
          <w:p>
            <w:pPr>
              <w:spacing w:before="80" w:after="80"/>
            </w:pPr>
            <w:r>
              <w:t xml:space="preserve"/>
            </w:r>
          </w:p>
          <w:p>
            <w:r>
              <w:rPr>
                <w:rFonts w:ascii="Arial" w:cs="Arial" w:eastAsia="Arial" w:hAnsi="Arial"/>
                <w:color w:val="888888"/>
                <w:sz w:val="18"/>
                <w:szCs w:val="18"/>
              </w:rPr>
              <w:t xml:space="preserve">Compliance</w:t>
            </w:r>
          </w:p>
          <w:p>
            <w:pPr>
              <w:spacing w:before="40"/>
            </w:pPr>
            <w:r>
              <w:rPr>
                <w:rFonts w:ascii="Arial" w:cs="Arial" w:eastAsia="Arial" w:hAnsi="Arial"/>
                <w:b/>
                <w:bCs/>
                <w:color w:val="1A1A1A"/>
                <w:sz w:val="20"/>
                <w:szCs w:val="20"/>
              </w:rPr>
              <w:t xml:space="preserve">goAML 5.x  ·  Luxembourg CRF</w:t>
            </w:r>
          </w:p>
          <w:p>
            <w:pPr>
              <w:spacing w:before="80" w:after="80"/>
            </w:pPr>
            <w:r>
              <w:t xml:space="preserve"/>
            </w:r>
          </w:p>
          <w:p>
            <w:r>
              <w:rPr>
                <w:rFonts w:ascii="Arial" w:cs="Arial" w:eastAsia="Arial" w:hAnsi="Arial"/>
                <w:color w:val="888888"/>
                <w:sz w:val="18"/>
                <w:szCs w:val="18"/>
              </w:rPr>
              <w:t xml:space="preserve">Schema</w:t>
            </w:r>
          </w:p>
          <w:p>
            <w:pPr>
              <w:spacing w:before="40"/>
            </w:pPr>
            <w:r>
              <w:rPr>
                <w:rFonts w:ascii="Arial" w:cs="Arial" w:eastAsia="Arial" w:hAnsi="Arial"/>
                <w:b/>
                <w:bCs/>
                <w:color w:val="1A1A1A"/>
                <w:sz w:val="20"/>
                <w:szCs w:val="20"/>
              </w:rPr>
              <w:t xml:space="preserve">XSD 2024-02-22</w:t>
            </w:r>
          </w:p>
          <w:p>
            <w:pPr>
              <w:spacing w:before="80" w:after="80"/>
            </w:pPr>
            <w:r>
              <w:t xml:space="preserve"/>
            </w:r>
          </w:p>
          <w:p>
            <w:r>
              <w:rPr>
                <w:rFonts w:ascii="Arial" w:cs="Arial" w:eastAsia="Arial" w:hAnsi="Arial"/>
                <w:color w:val="888888"/>
                <w:sz w:val="18"/>
                <w:szCs w:val="18"/>
              </w:rPr>
              <w:t xml:space="preserve">Report Types</w:t>
            </w:r>
          </w:p>
          <w:p>
            <w:pPr>
              <w:spacing w:before="40"/>
            </w:pPr>
            <w:r>
              <w:rPr>
                <w:rFonts w:ascii="Arial" w:cs="Arial" w:eastAsia="Arial" w:hAnsi="Arial"/>
                <w:b/>
                <w:bCs/>
                <w:color w:val="1A1A1A"/>
                <w:sz w:val="20"/>
                <w:szCs w:val="20"/>
              </w:rPr>
              <w:t xml:space="preserve">STR, SAR, RIRT, TFTR, CTR</w:t>
            </w:r>
          </w:p>
        </w:tc>
        <w:tc>
          <w:tcPr>
            <w:tcW w:type="dxa" w:w="4906"/>
            <w:tcBorders>
              <w:top w:val="none"/>
              <w:left w:val="single" w:color="CCCCCC" w:sz="2"/>
              <w:bottom w:val="none"/>
              <w:right w:val="none"/>
            </w:tcBorders>
            <w:shd w:fill="E8F1FA" w:val="clear"/>
            <w:tcMar>
              <w:top w:type="dxa" w:w="160"/>
              <w:left w:type="dxa" w:w="240"/>
              <w:bottom w:type="dxa" w:w="160"/>
              <w:right w:type="dxa" w:w="160"/>
            </w:tcMar>
          </w:tcPr>
          <w:p>
            <w:pPr>
              <w:spacing w:before="40" w:after="80"/>
            </w:pPr>
            <w:r>
              <w:rPr>
                <w:rFonts w:ascii="Arial" w:cs="Arial" w:eastAsia="Arial" w:hAnsi="Arial"/>
                <w:b/>
                <w:bCs/>
                <w:color w:val="004B8D"/>
                <w:sz w:val="20"/>
                <w:szCs w:val="20"/>
              </w:rPr>
              <w:t xml:space="preserve">Key Features</w:t>
            </w:r>
          </w:p>
          <w:p>
            <w:pPr>
              <w:pStyle w:val="ListParagraph"/>
              <w:numPr>
                <w:ilvl w:val="0"/>
                <w:numId w:val="2"/>
              </w:numPr>
              <w:spacing w:before="30" w:after="30"/>
            </w:pPr>
            <w:r>
              <w:rPr>
                <w:rFonts w:ascii="Arial" w:cs="Arial" w:eastAsia="Arial" w:hAnsi="Arial"/>
                <w:color w:val="1A1A1A"/>
                <w:sz w:val="18"/>
                <w:szCs w:val="18"/>
              </w:rPr>
              <w:t xml:space="preserve">Live XML preview panel</w:t>
            </w:r>
          </w:p>
          <w:p>
            <w:pPr>
              <w:pStyle w:val="ListParagraph"/>
              <w:numPr>
                <w:ilvl w:val="0"/>
                <w:numId w:val="2"/>
              </w:numPr>
              <w:spacing w:before="30" w:after="30"/>
            </w:pPr>
            <w:r>
              <w:rPr>
                <w:rFonts w:ascii="Arial" w:cs="Arial" w:eastAsia="Arial" w:hAnsi="Arial"/>
                <w:color w:val="1A1A1A"/>
                <w:sz w:val="18"/>
                <w:szCs w:val="18"/>
              </w:rPr>
              <w:t xml:space="preserve">Field-level validation</w:t>
            </w:r>
          </w:p>
          <w:p>
            <w:pPr>
              <w:pStyle w:val="ListParagraph"/>
              <w:numPr>
                <w:ilvl w:val="0"/>
                <w:numId w:val="2"/>
              </w:numPr>
              <w:spacing w:before="30" w:after="30"/>
            </w:pPr>
            <w:r>
              <w:rPr>
                <w:rFonts w:ascii="Arial" w:cs="Arial" w:eastAsia="Arial" w:hAnsi="Arial"/>
                <w:color w:val="1A1A1A"/>
                <w:sz w:val="18"/>
                <w:szCs w:val="18"/>
              </w:rPr>
              <w:t xml:space="preserve">All transaction types</w:t>
            </w:r>
          </w:p>
          <w:p>
            <w:pPr>
              <w:pStyle w:val="ListParagraph"/>
              <w:numPr>
                <w:ilvl w:val="0"/>
                <w:numId w:val="2"/>
              </w:numPr>
              <w:spacing w:before="30" w:after="30"/>
            </w:pPr>
            <w:r>
              <w:rPr>
                <w:rFonts w:ascii="Arial" w:cs="Arial" w:eastAsia="Arial" w:hAnsi="Arial"/>
                <w:color w:val="1A1A1A"/>
                <w:sz w:val="18"/>
                <w:szCs w:val="18"/>
              </w:rPr>
              <w:t xml:space="preserve">Flexible From/To structure</w:t>
            </w:r>
          </w:p>
          <w:p>
            <w:pPr>
              <w:pStyle w:val="ListParagraph"/>
              <w:numPr>
                <w:ilvl w:val="0"/>
                <w:numId w:val="2"/>
              </w:numPr>
              <w:spacing w:before="30" w:after="30"/>
            </w:pPr>
            <w:r>
              <w:rPr>
                <w:rFonts w:ascii="Arial" w:cs="Arial" w:eastAsia="Arial" w:hAnsi="Arial"/>
                <w:color w:val="1A1A1A"/>
                <w:sz w:val="18"/>
                <w:szCs w:val="18"/>
              </w:rPr>
              <w:t xml:space="preserve">Official funds codes</w:t>
            </w:r>
          </w:p>
          <w:p>
            <w:pPr>
              <w:pStyle w:val="ListParagraph"/>
              <w:numPr>
                <w:ilvl w:val="0"/>
                <w:numId w:val="2"/>
              </w:numPr>
              <w:spacing w:before="30" w:after="30"/>
            </w:pPr>
            <w:r>
              <w:rPr>
                <w:rFonts w:ascii="Arial" w:cs="Arial" w:eastAsia="Arial" w:hAnsi="Arial"/>
                <w:color w:val="1A1A1A"/>
                <w:sz w:val="18"/>
                <w:szCs w:val="18"/>
              </w:rPr>
              <w:t xml:space="preserve">Luxembourg CRF indicators</w:t>
            </w:r>
          </w:p>
          <w:p>
            <w:pPr>
              <w:pStyle w:val="ListParagraph"/>
              <w:numPr>
                <w:ilvl w:val="0"/>
                <w:numId w:val="2"/>
              </w:numPr>
              <w:spacing w:before="30" w:after="30"/>
            </w:pPr>
            <w:r>
              <w:rPr>
                <w:rFonts w:ascii="Arial" w:cs="Arial" w:eastAsia="Arial" w:hAnsi="Arial"/>
                <w:color w:val="1A1A1A"/>
                <w:sz w:val="18"/>
                <w:szCs w:val="18"/>
              </w:rPr>
              <w:t xml:space="preserve">No XML declaration header</w:t>
            </w:r>
          </w:p>
          <w:p>
            <w:pPr>
              <w:pStyle w:val="ListParagraph"/>
              <w:numPr>
                <w:ilvl w:val="0"/>
                <w:numId w:val="2"/>
              </w:numPr>
              <w:spacing w:before="30" w:after="30"/>
            </w:pPr>
            <w:r>
              <w:rPr>
                <w:rFonts w:ascii="Arial" w:cs="Arial" w:eastAsia="Arial" w:hAnsi="Arial"/>
                <w:color w:val="1A1A1A"/>
                <w:sz w:val="18"/>
                <w:szCs w:val="18"/>
              </w:rPr>
              <w:t xml:space="preserve">Export as .txt / copy</w:t>
            </w:r>
          </w:p>
        </w:tc>
      </w:tr>
    </w:tbl>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1. Overview</w:t>
      </w:r>
    </w:p>
    <w:p>
      <w:pPr>
        <w:spacing w:before="60" w:after="80"/>
      </w:pPr>
      <w:r>
        <w:rPr>
          <w:rFonts w:ascii="Arial" w:cs="Arial" w:eastAsia="Arial" w:hAnsi="Arial"/>
          <w:color w:val="1A1A1A"/>
          <w:sz w:val="20"/>
          <w:szCs w:val="20"/>
        </w:rPr>
        <w:t xml:space="preserve">The goAML XML Report Generator is a browser-based tool that allows compliance officers and developers to build, validate, and export goAML-compliant XML reports for submission to the Luxembourg CRF (Cellule de Renseignement Financier).</w:t>
      </w:r>
    </w:p>
    <w:p>
      <w:pPr>
        <w:spacing w:before="60" w:after="80"/>
      </w:pPr>
      <w:r>
        <w:rPr>
          <w:rFonts w:ascii="Arial" w:cs="Arial" w:eastAsia="Arial" w:hAnsi="Arial"/>
          <w:color w:val="1A1A1A"/>
          <w:sz w:val="20"/>
          <w:szCs w:val="20"/>
        </w:rPr>
        <w:t xml:space="preserve">No installation or internet connection is required after opening the HTML file. All processing is done locally in the browser.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A" w:val="clear"/>
            <w:tcMar>
              <w:top w:type="dxa" w:w="100"/>
              <w:left w:type="dxa" w:w="180"/>
              <w:bottom w:type="dxa" w:w="100"/>
              <w:right w:type="dxa" w:w="180"/>
            </w:tcMar>
          </w:tcPr>
          <w:p>
            <w:pPr>
              <w:spacing w:before="40" w:after="40"/>
            </w:pPr>
            <w:r>
              <w:rPr>
                <w:rFonts w:ascii="Arial" w:cs="Arial" w:eastAsia="Arial" w:hAnsi="Arial"/>
                <w:b/>
                <w:bCs/>
                <w:color w:val="004B8D"/>
                <w:sz w:val="18"/>
                <w:szCs w:val="18"/>
              </w:rPr>
              <w:t xml:space="preserve">Important — File Format</w:t>
            </w:r>
          </w:p>
          <w:p>
            <w:pPr>
              <w:spacing w:before="20" w:after="20"/>
            </w:pPr>
            <w:r>
              <w:rPr>
                <w:rFonts w:ascii="Arial" w:cs="Arial" w:eastAsia="Arial" w:hAnsi="Arial"/>
                <w:color w:val="1A1A1A"/>
                <w:sz w:val="18"/>
                <w:szCs w:val="18"/>
              </w:rPr>
              <w:t xml:space="preserve">The exported file starts directly with &lt;report&gt; with no XML declaration. goAML strictly rejects files that begin with &lt;?xml ...?&gt;. This tool produces output that complies with this requirement.</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1.1  Layout</w:t>
      </w:r>
    </w:p>
    <w:p>
      <w:pPr>
        <w:spacing w:before="60" w:after="80"/>
      </w:pPr>
      <w:r>
        <w:rPr>
          <w:rFonts w:ascii="Arial" w:cs="Arial" w:eastAsia="Arial" w:hAnsi="Arial"/>
          <w:color w:val="1A1A1A"/>
          <w:sz w:val="20"/>
          <w:szCs w:val="20"/>
        </w:rPr>
        <w:t xml:space="preserve">The interface is divided into three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Panel</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Left Sidebar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Navigation between Report Header, Transactions, and Indicators. Shows a counter of added transactions.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Center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main form area. Displays the currently selected section or transaction.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Right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Live XML preview that updates as you type, with syntax highlighting and export buttons.</w:t>
            </w:r>
          </w:p>
        </w:tc>
      </w:tr>
    </w:tbl>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2. Report Header  &lt;report&gt;</w:t>
      </w:r>
    </w:p>
    <w:p>
      <w:pPr>
        <w:spacing w:before="60" w:after="80"/>
      </w:pPr>
      <w:r>
        <w:rPr>
          <w:rFonts w:ascii="Arial" w:cs="Arial" w:eastAsia="Arial" w:hAnsi="Arial"/>
          <w:color w:val="1A1A1A"/>
          <w:sz w:val="20"/>
          <w:szCs w:val="20"/>
        </w:rPr>
        <w:t xml:space="preserve">The Report Header contains the top-level metadata for the entire STR/SAR filing. These fields map directly to the root-level XML elements inside &lt;report&gt;.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Entity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Your reporting entity's numeric identifier assigned by goAML.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Submission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 = New report,  A = Amendment,  S = Supplementary.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type of report: STR, SAR, RIRT, TFTR, or CTR.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Entity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Your internal reference number for this report.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the report is submitted. Format: YYYY-MM-DD.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base currency for all amounts in this report (e.g., EUR).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Reason / Narrative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Free-text description of why this report is being filed. Can be a long narrative. Required.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A" w:val="clear"/>
            <w:tcMar>
              <w:top w:type="dxa" w:w="100"/>
              <w:left w:type="dxa" w:w="180"/>
              <w:bottom w:type="dxa" w:w="100"/>
              <w:right w:type="dxa" w:w="180"/>
            </w:tcMar>
          </w:tcPr>
          <w:p>
            <w:pPr>
              <w:spacing w:before="40" w:after="40"/>
            </w:pPr>
            <w:r>
              <w:rPr>
                <w:rFonts w:ascii="Arial" w:cs="Arial" w:eastAsia="Arial" w:hAnsi="Arial"/>
                <w:b/>
                <w:bCs/>
                <w:color w:val="004B8D"/>
                <w:sz w:val="18"/>
                <w:szCs w:val="18"/>
              </w:rPr>
              <w:t xml:space="preserve">Submission Code vs Report Code</w:t>
            </w:r>
          </w:p>
          <w:p>
            <w:pPr>
              <w:spacing w:before="20" w:after="20"/>
            </w:pPr>
            <w:r>
              <w:rPr>
                <w:rFonts w:ascii="Arial" w:cs="Arial" w:eastAsia="Arial" w:hAnsi="Arial"/>
                <w:color w:val="1A1A1A"/>
                <w:sz w:val="18"/>
                <w:szCs w:val="18"/>
              </w:rPr>
              <w:t xml:space="preserve">Submission Code controls whether this is a new filing (E), an amendment to an existing one (A), or supplementary information (S). Report Code specifies the report type: STR (Suspicious Transaction Report) is the most common for financial institutions.</w:t>
            </w:r>
          </w:p>
        </w:tc>
      </w:tr>
    </w:tbl>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3. Transactions  &lt;transaction&gt;</w:t>
      </w:r>
    </w:p>
    <w:p>
      <w:pPr>
        <w:spacing w:before="60" w:after="80"/>
      </w:pPr>
      <w:r>
        <w:rPr>
          <w:rFonts w:ascii="Arial" w:cs="Arial" w:eastAsia="Arial" w:hAnsi="Arial"/>
          <w:color w:val="1A1A1A"/>
          <w:sz w:val="20"/>
          <w:szCs w:val="20"/>
        </w:rPr>
        <w:t xml:space="preserve">Each goAML report can contain one or more transactions. Click "Add Transaction" in the left sidebar to add a new one. You will be prompted to choose the transaction structure.</w:t>
      </w:r>
    </w:p>
    <w:p>
      <w:pPr>
        <w:pStyle w:val="Heading2"/>
        <w:spacing w:before="240" w:after="80"/>
      </w:pPr>
      <w:r>
        <w:rPr>
          <w:rFonts w:ascii="Arial" w:cs="Arial" w:eastAsia="Arial" w:hAnsi="Arial"/>
          <w:b/>
          <w:bCs/>
          <w:color w:val="003366"/>
          <w:sz w:val="24"/>
          <w:szCs w:val="24"/>
        </w:rPr>
        <w:t xml:space="preserve">3.1  Choosing a Transaction Structure</w:t>
      </w:r>
    </w:p>
    <w:p>
      <w:pPr>
        <w:spacing w:before="60" w:after="80"/>
      </w:pPr>
      <w:r>
        <w:rPr>
          <w:rFonts w:ascii="Arial" w:cs="Arial" w:eastAsia="Arial" w:hAnsi="Arial"/>
          <w:color w:val="1A1A1A"/>
          <w:sz w:val="20"/>
          <w:szCs w:val="20"/>
        </w:rPr>
        <w:t xml:space="preserve">When you click "+ Add Transaction", a dialog appears with preset structures. Each preset pre-fills the From/To configuration but you can change any setting afterwards: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Preset</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Pre-configured Structure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Wire Transfer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my client (account)  →  To: external (account). Standard t_from_my_client / t_to.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 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my client (account)  →  To: my client (card account). t_from_my_client / t_to_my_client.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Money Remittance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my client (person, no account)  →  To: external (foreign currency + recipient person).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FX / Cash Withdrawal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my client (account)  →  To: my client (person) with foreign currency block.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Insurance Redemption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my client (insurance account)  →  To: external (bank account).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Cash Deposit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external (person only)  →  To: my client (account).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defaults set to account-based wire transfer. Change any field as needed.</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3.2  Core Transaction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Transaction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identifier for this transaction within the report. Usually your internal reference, e.g. CRFLLULL-123456.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Transaction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of the transaction in YYYY-MM-DD format.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Amount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Amount in the local currency defined in the Report Header. Positive number.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Transaction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 = Electronic, B = Cash, C = Cheque, D = Card, X = Other.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Short text describing the nature of the transaction, e.g. "virement", "relevé carte de crédit". Recommended.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Transaction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Optional. Used for money remittance and cash operations to indicate the branch or agent location.</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3.3  FROM Party Configuration</w:t>
      </w:r>
    </w:p>
    <w:p>
      <w:pPr>
        <w:spacing w:before="60" w:after="80"/>
      </w:pPr>
      <w:r>
        <w:rPr>
          <w:rFonts w:ascii="Arial" w:cs="Arial" w:eastAsia="Arial" w:hAnsi="Arial"/>
          <w:color w:val="1A1A1A"/>
          <w:sz w:val="20"/>
          <w:szCs w:val="20"/>
        </w:rPr>
        <w:t xml:space="preserve">Each transaction has a FROM side. Use the two dropdowns to control the XML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XML Effect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 client? = 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Wraps the FROM side in &lt;t_from_my_client&gt;. The account/person details are mandatory.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 client? = 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Wraps the FROM side in &lt;t_from&gt;. Fewer fields are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 =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Generates a &lt;from_account&gt; block inside the FROM section. Includes signatory and account status fields.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 = Person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Generates a &lt;from_person&gt; block. No account details — used for cash or money remittance senders.</w:t>
            </w:r>
          </w:p>
        </w:tc>
      </w:tr>
    </w:tbl>
    <w:p>
      <w:pPr>
        <w:spacing w:before="80" w:after="80"/>
      </w:pPr>
      <w:r>
        <w:t xml:space="preserve"/>
      </w:r>
    </w:p>
    <w:p>
      <w:pPr>
        <w:spacing w:before="60" w:after="80"/>
      </w:pPr>
      <w:r>
        <w:rPr>
          <w:rFonts w:ascii="Arial" w:cs="Arial" w:eastAsia="Arial" w:hAnsi="Arial"/>
          <w:color w:val="1A1A1A"/>
          <w:sz w:val="20"/>
          <w:szCs w:val="20"/>
        </w:rPr>
        <w:t xml:space="preserve">The label next to "FROM" in the form header (e.g., &lt;t_from_my_client&gt;) updates live as you change the dropdown.</w:t>
      </w:r>
    </w:p>
    <w:p>
      <w:pPr>
        <w:spacing w:before="80" w:after="80"/>
      </w:pPr>
      <w:r>
        <w:t xml:space="preserve"/>
      </w:r>
    </w:p>
    <w:p>
      <w:pPr>
        <w:pStyle w:val="Heading2"/>
        <w:spacing w:before="240" w:after="80"/>
      </w:pPr>
      <w:r>
        <w:rPr>
          <w:rFonts w:ascii="Arial" w:cs="Arial" w:eastAsia="Arial" w:hAnsi="Arial"/>
          <w:b/>
          <w:bCs/>
          <w:color w:val="003366"/>
          <w:sz w:val="24"/>
          <w:szCs w:val="24"/>
        </w:rPr>
        <w:t xml:space="preserve">3.4  TO Party Configuration</w:t>
      </w:r>
    </w:p>
    <w:p>
      <w:pPr>
        <w:spacing w:before="60" w:after="80"/>
      </w:pPr>
      <w:r>
        <w:rPr>
          <w:rFonts w:ascii="Arial" w:cs="Arial" w:eastAsia="Arial" w:hAnsi="Arial"/>
          <w:color w:val="1A1A1A"/>
          <w:sz w:val="20"/>
          <w:szCs w:val="20"/>
        </w:rPr>
        <w:t xml:space="preserve">The TO side works the same way, with an additional option: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XML Effect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 client? = 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Wraps TO in &lt;t_to&gt;. External counterparty.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 client? = 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Wraps TO in &lt;t_to_my_client&gt;. Your own client receiving funds.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 =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Generates &lt;to_account&gt;. Supports opened/closed dates and optional signatory.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 = Person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Generates &lt;to_person&gt;. Includes passport fields for external recipients.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 = Foreign 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Generates &lt;to_foreign_currency&gt; block (currency code, amount, exchange rate) followed by an optional &lt;to_person&gt; recipient.</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3.5  Account Fields  &lt;from_account&gt; / &lt;to_account&gt;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SWIFT/BIC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Bank identifier code of the account-holding institution, e.g. CRFLLULL.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account or IBAN number. Required for account-type parties.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IBAN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 Luxembourg/EU bank accounts, fill in both Account Number and IBAN with the IBAN 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 of the account holder as it appears on the account.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Currency of the account (from_account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Your internal client ID (from_account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 = Current, S = Savings, A = Credit card, B = Debit card, V = Insurance/investment.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 = Active, E = Expired/Closed, I = Inactive.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Opened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the account was opened (YYYY-MM-DD).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Balance / Balance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balance and the date it was recorded (from_account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Closed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the account is closed (to_account only).</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3.6  Signatory  &lt;signatory&gt;&lt;t_person&gt;</w:t>
      </w:r>
    </w:p>
    <w:p>
      <w:pPr>
        <w:spacing w:before="60" w:after="80"/>
      </w:pPr>
      <w:r>
        <w:rPr>
          <w:rFonts w:ascii="Arial" w:cs="Arial" w:eastAsia="Arial" w:hAnsi="Arial"/>
          <w:color w:val="1A1A1A"/>
          <w:sz w:val="20"/>
          <w:szCs w:val="20"/>
        </w:rPr>
        <w:t xml:space="preserve">Each account block includes a Signatory section for the account holder's personal details. Fill in the person fields and select 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Role 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holder (most common)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Authorized signatory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Beneficial owner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Director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3.7  Person Fields  &lt;t_person&gt; / &lt;from_person&gt; / &lt;to_person&gt;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 or 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 Name / Last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 per identity document.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of Birth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YYYY-MM-DD.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Birth Place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City of birth.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Nationality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2-letter ISO country code, e.g. LU, FR, 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2-letter ISO country code of residence.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 external parties (to_person, from_person).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 Country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2-letter ISO code of issuing country.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Address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 (1=Home, 2=Business, 3=Other), street, city, ZIP, country code.</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3.8  Funds Codes  &lt;from_funds_code&gt; / &lt;to_funds_code&gt;</w:t>
      </w:r>
    </w:p>
    <w:p>
      <w:pPr>
        <w:spacing w:before="60" w:after="80"/>
      </w:pPr>
      <w:r>
        <w:rPr>
          <w:rFonts w:ascii="Arial" w:cs="Arial" w:eastAsia="Arial" w:hAnsi="Arial"/>
          <w:color w:val="1A1A1A"/>
          <w:sz w:val="20"/>
          <w:szCs w:val="20"/>
        </w:rPr>
        <w:t xml:space="preserve">The funds code indicates the nature of the funds or the transaction method. Select the same code on both the FROM and TO sides for the same 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Wire transfer / virement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 payment (debit or credit)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Money remittance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Cash withdrawal / foreign exchange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Insurance redemption / policy payment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Cash deposit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Securities / investment transaction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FF5F5" w:val="clear"/>
            <w:tcMar>
              <w:top w:type="dxa" w:w="80"/>
              <w:left w:type="dxa" w:w="180"/>
              <w:bottom w:type="dxa" w:w="80"/>
              <w:right w:type="dxa" w:w="180"/>
            </w:tcMar>
          </w:tcPr>
          <w:p>
            <w:pPr>
              <w:spacing w:before="30" w:after="30"/>
            </w:pPr>
            <w:r>
              <w:rPr>
                <w:rFonts w:ascii="Arial" w:cs="Arial" w:eastAsia="Arial" w:hAnsi="Arial"/>
                <w:color w:val="C0392B"/>
                <w:sz w:val="18"/>
                <w:szCs w:val="18"/>
              </w:rPr>
              <w:t xml:space="preserve">⚠  These codes are defined by the Luxembourg CRF. Using wrong codes is a common cause of report rejection. Always match the code to the actual nature of the funds flow.</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3.9  Foreign Currency Block  &lt;to_foreign_currency&gt;</w:t>
      </w:r>
    </w:p>
    <w:p>
      <w:pPr>
        <w:spacing w:before="60" w:after="80"/>
      </w:pPr>
      <w:r>
        <w:rPr>
          <w:rFonts w:ascii="Arial" w:cs="Arial" w:eastAsia="Arial" w:hAnsi="Arial"/>
          <w:color w:val="1A1A1A"/>
          <w:sz w:val="20"/>
          <w:szCs w:val="20"/>
        </w:rPr>
        <w:t xml:space="preserve">Used when the counterparty receives a different currency than the local one.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Foreign Currency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3-letter ISO currency code, e.g. USD.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Foreign 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amount in the foreign currency, e.g. 1285.95.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Exchange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rate applied, e.g. 1.07 for EUR/USD.</w:t>
            </w:r>
          </w:p>
        </w:tc>
      </w:tr>
    </w:tbl>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4. Report Indicators  &lt;report_indicators&gt;</w:t>
      </w:r>
    </w:p>
    <w:p>
      <w:pPr>
        <w:spacing w:before="60" w:after="80"/>
      </w:pPr>
      <w:r>
        <w:rPr>
          <w:rFonts w:ascii="Arial" w:cs="Arial" w:eastAsia="Arial" w:hAnsi="Arial"/>
          <w:color w:val="1A1A1A"/>
          <w:sz w:val="20"/>
          <w:szCs w:val="20"/>
        </w:rPr>
        <w:t xml:space="preserve">Indicators are predefined codes defined by the Luxembourg CRF that describe the nature of the suspicious activity. At least one indicator is typically required for STR filings.</w:t>
      </w:r>
    </w:p>
    <w:p>
      <w:pPr>
        <w:spacing w:before="60" w:after="80"/>
      </w:pPr>
      <w:r>
        <w:rPr>
          <w:rFonts w:ascii="Arial" w:cs="Arial" w:eastAsia="Arial" w:hAnsi="Arial"/>
          <w:color w:val="1A1A1A"/>
          <w:sz w:val="20"/>
          <w:szCs w:val="20"/>
        </w:rPr>
        <w:t xml:space="preserve">Click "Indicators" in the left sidebar to access the indicators page. Click one or more chips to select them. Selected indicators are highlighted in blue and will be included in the exported XML.</w:t>
      </w:r>
    </w:p>
    <w:p>
      <w:pPr>
        <w:spacing w:before="80" w:after="80"/>
      </w:pPr>
      <w:r>
        <w:t xml:space="preserve"/>
      </w:r>
    </w:p>
    <w:p>
      <w:pPr>
        <w:spacing w:before="60" w:after="80"/>
      </w:pPr>
      <w:r>
        <w:rPr>
          <w:rFonts w:ascii="Arial" w:cs="Arial" w:eastAsia="Arial" w:hAnsi="Arial"/>
          <w:color w:val="1A1A1A"/>
          <w:sz w:val="20"/>
          <w:szCs w:val="20"/>
        </w:rPr>
        <w:t xml:space="preserve">Common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Structured transactions (smurfing)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Unusual transaction size or pattern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High-risk jurisdiction involvement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PEP (Politically Exposed Person) involvement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Frequent cash transactions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Inconsistent with client profile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Terrorist financing suspicion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Unusual wire transfer pattern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Large cash transaction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A" w:val="clear"/>
            <w:tcMar>
              <w:top w:type="dxa" w:w="100"/>
              <w:left w:type="dxa" w:w="180"/>
              <w:bottom w:type="dxa" w:w="100"/>
              <w:right w:type="dxa" w:w="180"/>
            </w:tcMar>
          </w:tcPr>
          <w:p>
            <w:pPr>
              <w:spacing w:before="40" w:after="40"/>
            </w:pPr>
            <w:r>
              <w:rPr>
                <w:rFonts w:ascii="Arial" w:cs="Arial" w:eastAsia="Arial" w:hAnsi="Arial"/>
                <w:b/>
                <w:bCs/>
                <w:color w:val="004B8D"/>
                <w:sz w:val="18"/>
                <w:szCs w:val="18"/>
              </w:rPr>
              <w:t xml:space="preserve">Note</w:t>
            </w:r>
          </w:p>
          <w:p>
            <w:pPr>
              <w:spacing w:before="20" w:after="20"/>
            </w:pPr>
            <w:r>
              <w:rPr>
                <w:rFonts w:ascii="Arial" w:cs="Arial" w:eastAsia="Arial" w:hAnsi="Arial"/>
                <w:color w:val="1A1A1A"/>
                <w:sz w:val="18"/>
                <w:szCs w:val="18"/>
              </w:rPr>
              <w:t xml:space="preserve">The full list of indicator codes and their official definitions is published by the Luxembourg CRF and may be updated. Always refer to the latest CRF documentation when selecting indicators.</w:t>
            </w:r>
          </w:p>
        </w:tc>
      </w:tr>
    </w:tbl>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5. XML Output Format</w:t>
      </w:r>
    </w:p>
    <w:p>
      <w:pPr>
        <w:pStyle w:val="Heading2"/>
        <w:spacing w:before="240" w:after="80"/>
      </w:pPr>
      <w:r>
        <w:rPr>
          <w:rFonts w:ascii="Arial" w:cs="Arial" w:eastAsia="Arial" w:hAnsi="Arial"/>
          <w:b/>
          <w:bCs/>
          <w:color w:val="003366"/>
          <w:sz w:val="24"/>
          <w:szCs w:val="24"/>
        </w:rPr>
        <w:t xml:space="preserve">5.1  File Structure</w:t>
      </w:r>
    </w:p>
    <w:p>
      <w:pPr>
        <w:spacing w:before="60" w:after="80"/>
      </w:pPr>
      <w:r>
        <w:rPr>
          <w:rFonts w:ascii="Arial" w:cs="Arial" w:eastAsia="Arial" w:hAnsi="Arial"/>
          <w:color w:val="1A1A1A"/>
          <w:sz w:val="20"/>
          <w:szCs w:val="20"/>
        </w:rPr>
        <w:t xml:space="preserve">The generated XML follows the official goAML 5.x XSD schema. The file starts directly with &lt;report&gt;:</w:t>
      </w:r>
    </w:p>
    <w:p>
      <w:pPr>
        <w:spacing w:before="80" w:after="80"/>
      </w:pPr>
      <w:r>
        <w:t xml:space="preserve"/>
      </w:r>
    </w:p>
    <w:p>
      <w:pPr>
        <w:shd w:fill="F0F4F8" w:val="clear"/>
        <w:spacing w:before="40" w:after="40"/>
      </w:pPr>
      <w:r>
        <w:rPr>
          <w:rFonts w:ascii="Courier New" w:cs="Courier New" w:eastAsia="Courier New" w:hAnsi="Courier New"/>
          <w:color w:val="333333"/>
          <w:sz w:val="18"/>
          <w:szCs w:val="18"/>
        </w:rPr>
        <w:t xml:space="preserve">&lt;report&gt;</w:t>
      </w:r>
    </w:p>
    <w:p>
      <w:pPr>
        <w:shd w:fill="F0F4F8" w:val="clear"/>
        <w:spacing w:before="40" w:after="40"/>
      </w:pPr>
      <w:r>
        <w:rPr>
          <w:rFonts w:ascii="Courier New" w:cs="Courier New" w:eastAsia="Courier New" w:hAnsi="Courier New"/>
          <w:color w:val="333333"/>
          <w:sz w:val="18"/>
          <w:szCs w:val="18"/>
        </w:rPr>
        <w:t xml:space="preserve">  &lt;rentity_id&gt;1&lt;/rentity_id&gt;</w:t>
      </w:r>
    </w:p>
    <w:p>
      <w:pPr>
        <w:shd w:fill="F0F4F8" w:val="clear"/>
        <w:spacing w:before="40" w:after="40"/>
      </w:pPr>
      <w:r>
        <w:rPr>
          <w:rFonts w:ascii="Courier New" w:cs="Courier New" w:eastAsia="Courier New" w:hAnsi="Courier New"/>
          <w:color w:val="333333"/>
          <w:sz w:val="18"/>
          <w:szCs w:val="18"/>
        </w:rPr>
        <w:t xml:space="preserve">  &lt;submission_code&gt;E&lt;/submission_code&gt;</w:t>
      </w:r>
    </w:p>
    <w:p>
      <w:pPr>
        <w:shd w:fill="F0F4F8" w:val="clear"/>
        <w:spacing w:before="40" w:after="40"/>
      </w:pPr>
      <w:r>
        <w:rPr>
          <w:rFonts w:ascii="Courier New" w:cs="Courier New" w:eastAsia="Courier New" w:hAnsi="Courier New"/>
          <w:color w:val="333333"/>
          <w:sz w:val="18"/>
          <w:szCs w:val="18"/>
        </w:rPr>
        <w:t xml:space="preserve">  &lt;report_code&gt;STR&lt;/report_code&gt;</w:t>
      </w:r>
    </w:p>
    <w:p>
      <w:pPr>
        <w:shd w:fill="F0F4F8" w:val="clear"/>
        <w:spacing w:before="40" w:after="40"/>
      </w:pPr>
      <w:r>
        <w:rPr>
          <w:rFonts w:ascii="Courier New" w:cs="Courier New" w:eastAsia="Courier New" w:hAnsi="Courier New"/>
          <w:color w:val="333333"/>
          <w:sz w:val="18"/>
          <w:szCs w:val="18"/>
        </w:rPr>
        <w:t xml:space="preserve">  &lt;entity_reference&gt;my-ref-001&lt;/entity_reference&gt;</w:t>
      </w:r>
    </w:p>
    <w:p>
      <w:pPr>
        <w:shd w:fill="F0F4F8" w:val="clear"/>
        <w:spacing w:before="40" w:after="40"/>
      </w:pPr>
      <w:r>
        <w:rPr>
          <w:rFonts w:ascii="Courier New" w:cs="Courier New" w:eastAsia="Courier New" w:hAnsi="Courier New"/>
          <w:color w:val="333333"/>
          <w:sz w:val="18"/>
          <w:szCs w:val="18"/>
        </w:rPr>
        <w:t xml:space="preserve">  &lt;submission_date&gt;2024-06-03T00:00:00&lt;/submission_date&gt;</w:t>
      </w:r>
    </w:p>
    <w:p>
      <w:pPr>
        <w:shd w:fill="F0F4F8" w:val="clear"/>
        <w:spacing w:before="40" w:after="40"/>
      </w:pPr>
      <w:r>
        <w:rPr>
          <w:rFonts w:ascii="Courier New" w:cs="Courier New" w:eastAsia="Courier New" w:hAnsi="Courier New"/>
          <w:color w:val="333333"/>
          <w:sz w:val="18"/>
          <w:szCs w:val="18"/>
        </w:rPr>
        <w:t xml:space="preserve">  &lt;currency_code_local&gt;EUR&lt;/currency_code_local&gt;</w:t>
      </w:r>
    </w:p>
    <w:p>
      <w:pPr>
        <w:shd w:fill="F0F4F8" w:val="clear"/>
        <w:spacing w:before="40" w:after="40"/>
      </w:pPr>
      <w:r>
        <w:rPr>
          <w:rFonts w:ascii="Courier New" w:cs="Courier New" w:eastAsia="Courier New" w:hAnsi="Courier New"/>
          <w:color w:val="333333"/>
          <w:sz w:val="18"/>
          <w:szCs w:val="18"/>
        </w:rPr>
        <w:t xml:space="preserve">  &lt;reason&gt;Suspicious wire transfer pattern...&lt;/reason&gt;</w:t>
      </w:r>
    </w:p>
    <w:p>
      <w:pPr>
        <w:shd w:fill="F0F4F8" w:val="clear"/>
        <w:spacing w:before="40" w:after="40"/>
      </w:pPr>
      <w:r>
        <w:rPr>
          <w:rFonts w:ascii="Courier New" w:cs="Courier New" w:eastAsia="Courier New" w:hAnsi="Courier New"/>
          <w:color w:val="333333"/>
          <w:sz w:val="18"/>
          <w:szCs w:val="18"/>
        </w:rPr>
        <w:t xml:space="preserve">  &lt;transaction&gt;</w:t>
      </w:r>
    </w:p>
    <w:p>
      <w:pPr>
        <w:shd w:fill="F0F4F8" w:val="clear"/>
        <w:spacing w:before="40" w:after="40"/>
      </w:pPr>
      <w:r>
        <w:rPr>
          <w:rFonts w:ascii="Courier New" w:cs="Courier New" w:eastAsia="Courier New" w:hAnsi="Courier New"/>
          <w:color w:val="333333"/>
          <w:sz w:val="18"/>
          <w:szCs w:val="18"/>
        </w:rPr>
        <w:t xml:space="preserve">    &lt;transactionnumber&gt;CRFLLULL-123456&lt;/transactionnumber&gt;</w:t>
      </w:r>
    </w:p>
    <w:p>
      <w:pPr>
        <w:shd w:fill="F0F4F8" w:val="clear"/>
        <w:spacing w:before="40" w:after="40"/>
      </w:pPr>
      <w:r>
        <w:rPr>
          <w:rFonts w:ascii="Courier New" w:cs="Courier New" w:eastAsia="Courier New" w:hAnsi="Courier New"/>
          <w:color w:val="333333"/>
          <w:sz w:val="18"/>
          <w:szCs w:val="18"/>
        </w:rPr>
        <w:t xml:space="preserve">    ...</w:t>
      </w:r>
    </w:p>
    <w:p>
      <w:pPr>
        <w:shd w:fill="F0F4F8" w:val="clear"/>
        <w:spacing w:before="40" w:after="40"/>
      </w:pPr>
      <w:r>
        <w:rPr>
          <w:rFonts w:ascii="Courier New" w:cs="Courier New" w:eastAsia="Courier New" w:hAnsi="Courier New"/>
          <w:color w:val="333333"/>
          <w:sz w:val="18"/>
          <w:szCs w:val="18"/>
        </w:rPr>
        <w:t xml:space="preserve">  &lt;/transaction&gt;</w:t>
      </w:r>
    </w:p>
    <w:p>
      <w:pPr>
        <w:shd w:fill="F0F4F8" w:val="clear"/>
        <w:spacing w:before="40" w:after="40"/>
      </w:pPr>
      <w:r>
        <w:rPr>
          <w:rFonts w:ascii="Courier New" w:cs="Courier New" w:eastAsia="Courier New" w:hAnsi="Courier New"/>
          <w:color w:val="333333"/>
          <w:sz w:val="18"/>
          <w:szCs w:val="18"/>
        </w:rPr>
        <w:t xml:space="preserve">  &lt;report_indicators&gt;</w:t>
      </w:r>
    </w:p>
    <w:p>
      <w:pPr>
        <w:shd w:fill="F0F4F8" w:val="clear"/>
        <w:spacing w:before="40" w:after="40"/>
      </w:pPr>
      <w:r>
        <w:rPr>
          <w:rFonts w:ascii="Courier New" w:cs="Courier New" w:eastAsia="Courier New" w:hAnsi="Courier New"/>
          <w:color w:val="333333"/>
          <w:sz w:val="18"/>
          <w:szCs w:val="18"/>
        </w:rPr>
        <w:t xml:space="preserve">    &lt;indicator&gt;18&lt;/indicator&gt;</w:t>
      </w:r>
    </w:p>
    <w:p>
      <w:pPr>
        <w:shd w:fill="F0F4F8" w:val="clear"/>
        <w:spacing w:before="40" w:after="40"/>
      </w:pPr>
      <w:r>
        <w:rPr>
          <w:rFonts w:ascii="Courier New" w:cs="Courier New" w:eastAsia="Courier New" w:hAnsi="Courier New"/>
          <w:color w:val="333333"/>
          <w:sz w:val="18"/>
          <w:szCs w:val="18"/>
        </w:rPr>
        <w:t xml:space="preserve">  &lt;/report_indicators&gt;</w:t>
      </w:r>
    </w:p>
    <w:p>
      <w:pPr>
        <w:shd w:fill="F0F4F8" w:val="clear"/>
        <w:spacing w:before="40" w:after="40"/>
      </w:pPr>
      <w:r>
        <w:rPr>
          <w:rFonts w:ascii="Courier New" w:cs="Courier New" w:eastAsia="Courier New" w:hAnsi="Courier New"/>
          <w:color w:val="333333"/>
          <w:sz w:val="18"/>
          <w:szCs w:val="18"/>
        </w:rPr>
        <w:t xml:space="preserve">&lt;/report&gt;</w:t>
      </w:r>
    </w:p>
    <w:p>
      <w:pPr>
        <w:spacing w:before="80" w:after="80"/>
      </w:pPr>
      <w:r>
        <w:t xml:space="preserve"/>
      </w:r>
    </w:p>
    <w:p>
      <w:pPr>
        <w:pStyle w:val="Heading2"/>
        <w:spacing w:before="240" w:after="80"/>
      </w:pPr>
      <w:r>
        <w:rPr>
          <w:rFonts w:ascii="Arial" w:cs="Arial" w:eastAsia="Arial" w:hAnsi="Arial"/>
          <w:b/>
          <w:bCs/>
          <w:color w:val="003366"/>
          <w:sz w:val="24"/>
          <w:szCs w:val="24"/>
        </w:rPr>
        <w:t xml:space="preserve">5.2  Date Format</w:t>
      </w:r>
    </w:p>
    <w:p>
      <w:pPr>
        <w:spacing w:before="60" w:after="80"/>
      </w:pPr>
      <w:r>
        <w:rPr>
          <w:rFonts w:ascii="Arial" w:cs="Arial" w:eastAsia="Arial" w:hAnsi="Arial"/>
          <w:color w:val="1A1A1A"/>
          <w:sz w:val="20"/>
          <w:szCs w:val="20"/>
        </w:rPr>
        <w:t xml:space="preserve">All dates are exported in the goAML datetime format: YYYY-MM-DDT00:00:00</w:t>
      </w:r>
    </w:p>
    <w:p>
      <w:pPr>
        <w:spacing w:before="60" w:after="80"/>
      </w:pPr>
      <w:r>
        <w:rPr>
          <w:rFonts w:ascii="Arial" w:cs="Arial" w:eastAsia="Arial" w:hAnsi="Arial"/>
          <w:b/>
          <w:bCs/>
          <w:color w:val="1A1A1A"/>
          <w:sz w:val="20"/>
          <w:szCs w:val="20"/>
        </w:rPr>
        <w:t xml:space="preserve">Input: </w:t>
      </w:r>
      <w:r>
        <w:rPr>
          <w:rFonts w:ascii="Arial" w:cs="Arial" w:eastAsia="Arial" w:hAnsi="Arial"/>
          <w:b w:val="false"/>
          <w:bCs w:val="false"/>
          <w:color w:val="1A1A1A"/>
          <w:sz w:val="20"/>
          <w:szCs w:val="20"/>
        </w:rPr>
        <w:t xml:space="preserve">2024-06-03</w:t>
      </w:r>
      <w:r>
        <w:rPr>
          <w:rFonts w:ascii="Arial" w:cs="Arial" w:eastAsia="Arial" w:hAnsi="Arial"/>
          <w:b/>
          <w:bCs/>
          <w:color w:val="1A1A1A"/>
          <w:sz w:val="20"/>
          <w:szCs w:val="20"/>
        </w:rPr>
        <w:t xml:space="preserve">   →   Exported: </w:t>
      </w:r>
      <w:r>
        <w:rPr>
          <w:rFonts w:ascii="Courier New" w:cs="Courier New" w:eastAsia="Courier New" w:hAnsi="Courier New"/>
          <w:b w:val="false"/>
          <w:bCs w:val="false"/>
          <w:color w:val="1A1A1A"/>
          <w:sz w:val="20"/>
          <w:szCs w:val="20"/>
        </w:rPr>
        <w:t xml:space="preserve">2024-06-03T00:00:00</w:t>
      </w:r>
    </w:p>
    <w:p>
      <w:pPr>
        <w:spacing w:before="80" w:after="80"/>
      </w:pPr>
      <w:r>
        <w:t xml:space="preserve"/>
      </w:r>
    </w:p>
    <w:p>
      <w:pPr>
        <w:pStyle w:val="Heading2"/>
        <w:spacing w:before="240" w:after="80"/>
      </w:pPr>
      <w:r>
        <w:rPr>
          <w:rFonts w:ascii="Arial" w:cs="Arial" w:eastAsia="Arial" w:hAnsi="Arial"/>
          <w:b/>
          <w:bCs/>
          <w:color w:val="003366"/>
          <w:sz w:val="24"/>
          <w:szCs w:val="24"/>
        </w:rPr>
        <w:t xml:space="preserve">5.3  Transaction Wrapper Tags</w:t>
      </w:r>
    </w:p>
    <w:p>
      <w:pPr>
        <w:spacing w:before="60" w:after="80"/>
      </w:pPr>
      <w:r>
        <w:rPr>
          <w:rFonts w:ascii="Arial" w:cs="Arial" w:eastAsia="Arial" w:hAnsi="Arial"/>
          <w:color w:val="1A1A1A"/>
          <w:sz w:val="20"/>
          <w:szCs w:val="20"/>
        </w:rPr>
        <w:t xml:space="preserve">The tool supports all four combination of FROM/TO wrapper tags as defined in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Tag Combination</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Typical Use Case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t_from_my_client + t_to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 client sends to external party (e.g. outgoing wire transfer)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t_from_my_client + t_to_my_client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transfer between my client's own accounts (e.g. card payment)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t_from + t_to_my_client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External party sends to my client (e.g. cash deposit by non-client)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t_from + t_to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 parties are external (rare, used for certain activity reports)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FF5F5" w:val="clear"/>
            <w:tcMar>
              <w:top w:type="dxa" w:w="80"/>
              <w:left w:type="dxa" w:w="180"/>
              <w:bottom w:type="dxa" w:w="80"/>
              <w:right w:type="dxa" w:w="180"/>
            </w:tcMar>
          </w:tcPr>
          <w:p>
            <w:pPr>
              <w:spacing w:before="30" w:after="30"/>
            </w:pPr>
            <w:r>
              <w:rPr>
                <w:rFonts w:ascii="Arial" w:cs="Arial" w:eastAsia="Arial" w:hAnsi="Arial"/>
                <w:color w:val="C0392B"/>
                <w:sz w:val="18"/>
                <w:szCs w:val="18"/>
              </w:rPr>
              <w:t xml:space="preserve">⚠  The goAML schema requires that each transaction has exactly ONE of t_from_my_client or t_from, and exactly ONE of t_to_my_client or t_to. Both cannot be present at the same time.</w:t>
            </w:r>
          </w:p>
        </w:tc>
      </w:tr>
    </w:tbl>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6. Exporting the Report</w:t>
      </w:r>
    </w:p>
    <w:p>
      <w:pPr>
        <w:pStyle w:val="Heading2"/>
        <w:spacing w:before="240" w:after="80"/>
      </w:pPr>
      <w:r>
        <w:rPr>
          <w:rFonts w:ascii="Arial" w:cs="Arial" w:eastAsia="Arial" w:hAnsi="Arial"/>
          <w:b/>
          <w:bCs/>
          <w:color w:val="003366"/>
          <w:sz w:val="24"/>
          <w:szCs w:val="24"/>
        </w:rPr>
        <w:t xml:space="preserve">6.1  Export as .txt File</w:t>
      </w:r>
    </w:p>
    <w:p>
      <w:pPr>
        <w:spacing w:before="60" w:after="80"/>
      </w:pPr>
      <w:r>
        <w:rPr>
          <w:rFonts w:ascii="Arial" w:cs="Arial" w:eastAsia="Arial" w:hAnsi="Arial"/>
          <w:color w:val="1A1A1A"/>
          <w:sz w:val="20"/>
          <w:szCs w:val="20"/>
        </w:rPr>
        <w:t xml:space="preserve">Click the green "Export .txt" button in the header or at the bottom of any transaction form. The file will be saved as:</w:t>
      </w:r>
    </w:p>
    <w:p>
      <w:pPr>
        <w:shd w:fill="F0F4F8" w:val="clear"/>
        <w:spacing w:before="40" w:after="40"/>
      </w:pPr>
      <w:r>
        <w:rPr>
          <w:rFonts w:ascii="Courier New" w:cs="Courier New" w:eastAsia="Courier New" w:hAnsi="Courier New"/>
          <w:color w:val="333333"/>
          <w:sz w:val="18"/>
          <w:szCs w:val="18"/>
        </w:rPr>
        <w:t xml:space="preserve">goAML_&lt;entity_reference&gt;_&lt;submission_date&gt;.txt</w:t>
      </w:r>
    </w:p>
    <w:p>
      <w:pPr>
        <w:spacing w:before="80" w:after="80"/>
      </w:pPr>
      <w:r>
        <w:t xml:space="preserve"/>
      </w:r>
    </w:p>
    <w:p>
      <w:pPr>
        <w:spacing w:before="60" w:after="80"/>
      </w:pPr>
      <w:r>
        <w:rPr>
          <w:rFonts w:ascii="Arial" w:cs="Arial" w:eastAsia="Arial" w:hAnsi="Arial"/>
          <w:color w:val="1A1A1A"/>
          <w:sz w:val="20"/>
          <w:szCs w:val="20"/>
        </w:rPr>
        <w:t xml:space="preserve">This file can be renamed to .xml if needed. Per the CRF FAQ, the .txt extension is acceptable for upload.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A" w:val="clear"/>
            <w:tcMar>
              <w:top w:type="dxa" w:w="100"/>
              <w:left w:type="dxa" w:w="180"/>
              <w:bottom w:type="dxa" w:w="100"/>
              <w:right w:type="dxa" w:w="180"/>
            </w:tcMar>
          </w:tcPr>
          <w:p>
            <w:pPr>
              <w:spacing w:before="40" w:after="40"/>
            </w:pPr>
            <w:r>
              <w:rPr>
                <w:rFonts w:ascii="Arial" w:cs="Arial" w:eastAsia="Arial" w:hAnsi="Arial"/>
                <w:b/>
                <w:bCs/>
                <w:color w:val="004B8D"/>
                <w:sz w:val="18"/>
                <w:szCs w:val="18"/>
              </w:rPr>
              <w:t xml:space="preserve">Uploading to goAML</w:t>
            </w:r>
          </w:p>
          <w:p>
            <w:pPr>
              <w:spacing w:before="20" w:after="20"/>
            </w:pPr>
            <w:r>
              <w:rPr>
                <w:rFonts w:ascii="Arial" w:cs="Arial" w:eastAsia="Arial" w:hAnsi="Arial"/>
                <w:color w:val="1A1A1A"/>
                <w:sz w:val="18"/>
                <w:szCs w:val="18"/>
              </w:rPr>
              <w:t xml:space="preserve">Log in to the goAML Web interface → New Reports → XML Upload. Select your exported .txt file and click Upload. The system will validate the file against the XSD schema and either accept or reject it. If rejected, the rejection reason is shown under Submitted Reports.</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6.2  Copy to Clipboard</w:t>
      </w:r>
    </w:p>
    <w:p>
      <w:pPr>
        <w:spacing w:before="60" w:after="80"/>
      </w:pPr>
      <w:r>
        <w:rPr>
          <w:rFonts w:ascii="Arial" w:cs="Arial" w:eastAsia="Arial" w:hAnsi="Arial"/>
          <w:color w:val="1A1A1A"/>
          <w:sz w:val="20"/>
          <w:szCs w:val="20"/>
        </w:rPr>
        <w:t xml:space="preserve">Click the "Copy" button in the XML preview panel header to copy the full XML to your clipboard without downloading a file.</w:t>
      </w:r>
    </w:p>
    <w:p>
      <w:pPr>
        <w:spacing w:before="80" w:after="80"/>
      </w:pPr>
      <w:r>
        <w:t xml:space="preserve"/>
      </w:r>
    </w:p>
    <w:p>
      <w:pPr>
        <w:pStyle w:val="Heading2"/>
        <w:spacing w:before="240" w:after="80"/>
      </w:pPr>
      <w:r>
        <w:rPr>
          <w:rFonts w:ascii="Arial" w:cs="Arial" w:eastAsia="Arial" w:hAnsi="Arial"/>
          <w:b/>
          <w:bCs/>
          <w:color w:val="003366"/>
          <w:sz w:val="24"/>
          <w:szCs w:val="24"/>
        </w:rPr>
        <w:t xml:space="preserve">6.3  Load Sample</w:t>
      </w:r>
    </w:p>
    <w:p>
      <w:pPr>
        <w:spacing w:before="60" w:after="80"/>
      </w:pPr>
      <w:r>
        <w:rPr>
          <w:rFonts w:ascii="Arial" w:cs="Arial" w:eastAsia="Arial" w:hAnsi="Arial"/>
          <w:color w:val="1A1A1A"/>
          <w:sz w:val="20"/>
          <w:szCs w:val="20"/>
        </w:rPr>
        <w:t xml:space="preserve">Click "Load Sample" in the top header bar to pre-fill the form with a complete wire transfer example (matching the official CRF example: CRFLLULL-123456, Max BRAUN sending EUR 50,000 to Nastasja MARTINS in France). This is useful for testing or understanding the structure.</w:t>
      </w:r>
    </w:p>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7. Validation</w:t>
      </w:r>
    </w:p>
    <w:p>
      <w:pPr>
        <w:spacing w:before="60" w:after="80"/>
      </w:pPr>
      <w:r>
        <w:rPr>
          <w:rFonts w:ascii="Arial" w:cs="Arial" w:eastAsia="Arial" w:hAnsi="Arial"/>
          <w:color w:val="1A1A1A"/>
          <w:sz w:val="20"/>
          <w:szCs w:val="20"/>
        </w:rPr>
        <w:t xml:space="preserve">The tool performs client-side validation on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Validation Type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Entity ID, Entity Reference, Submission Date, Reason, Transaction Number, Transaction Date, Amount, From/To Country, Funds Codes.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Must match YYYY-MM-DD exactly.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Numeric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Entity ID and Amount must be valid numbers.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Country codes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Must be exactly 2 uppercase letters (ISO 3166-1 alpha-2).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Must be a positive number greater than zero.</w:t>
            </w:r>
          </w:p>
        </w:tc>
      </w:tr>
    </w:tbl>
    <w:p>
      <w:pPr>
        <w:spacing w:before="80" w:after="80"/>
      </w:pPr>
      <w:r>
        <w:t xml:space="preserve"/>
      </w:r>
    </w:p>
    <w:p>
      <w:pPr>
        <w:spacing w:before="60" w:after="80"/>
      </w:pPr>
      <w:r>
        <w:rPr>
          <w:rFonts w:ascii="Arial" w:cs="Arial" w:eastAsia="Arial" w:hAnsi="Arial"/>
          <w:color w:val="1A1A1A"/>
          <w:sz w:val="20"/>
          <w:szCs w:val="20"/>
        </w:rPr>
        <w:t xml:space="preserve">The status bar at the bottom of the XML preview panel shows:</w:t>
      </w:r>
    </w:p>
    <w:p>
      <w:pPr>
        <w:pStyle w:val="ListParagraph"/>
        <w:numPr>
          <w:ilvl w:val="0"/>
          <w:numId w:val="2"/>
        </w:numPr>
        <w:spacing w:before="40" w:after="40"/>
      </w:pPr>
      <w:r>
        <w:rPr>
          <w:rFonts w:ascii="Arial" w:cs="Arial" w:eastAsia="Arial" w:hAnsi="Arial"/>
          <w:color w:val="1A1A1A"/>
          <w:sz w:val="20"/>
          <w:szCs w:val="20"/>
        </w:rPr>
        <w:t xml:space="preserve">"Ready to export" (green) — No validation errors found.</w:t>
      </w:r>
    </w:p>
    <w:p>
      <w:pPr>
        <w:pStyle w:val="ListParagraph"/>
        <w:numPr>
          <w:ilvl w:val="0"/>
          <w:numId w:val="2"/>
        </w:numPr>
        <w:spacing w:before="40" w:after="40"/>
      </w:pPr>
      <w:r>
        <w:rPr>
          <w:rFonts w:ascii="Arial" w:cs="Arial" w:eastAsia="Arial" w:hAnsi="Arial"/>
          <w:color w:val="1A1A1A"/>
          <w:sz w:val="20"/>
          <w:szCs w:val="20"/>
        </w:rPr>
        <w:t xml:space="preserve">"N validation errors" (red) — Errors are highlighted inline with a red border and error message.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FF5F5" w:val="clear"/>
            <w:tcMar>
              <w:top w:type="dxa" w:w="80"/>
              <w:left w:type="dxa" w:w="180"/>
              <w:bottom w:type="dxa" w:w="80"/>
              <w:right w:type="dxa" w:w="180"/>
            </w:tcMar>
          </w:tcPr>
          <w:p>
            <w:pPr>
              <w:spacing w:before="30" w:after="30"/>
            </w:pPr>
            <w:r>
              <w:rPr>
                <w:rFonts w:ascii="Arial" w:cs="Arial" w:eastAsia="Arial" w:hAnsi="Arial"/>
                <w:color w:val="C0392B"/>
                <w:sz w:val="18"/>
                <w:szCs w:val="18"/>
              </w:rPr>
              <w:t xml:space="preserve">⚠  Client-side validation does not replace server-side XSD validation by goAML. Always test your XML in the goAML training environment before submitting to production.</w:t>
            </w:r>
          </w:p>
        </w:tc>
      </w:tr>
    </w:tbl>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8. Tips &amp; Common Issues</w:t>
      </w:r>
    </w:p>
    <w:p>
      <w:pPr>
        <w:pStyle w:val="Heading2"/>
        <w:spacing w:before="240" w:after="80"/>
      </w:pPr>
      <w:r>
        <w:rPr>
          <w:rFonts w:ascii="Arial" w:cs="Arial" w:eastAsia="Arial" w:hAnsi="Arial"/>
          <w:b/>
          <w:bCs/>
          <w:color w:val="003366"/>
          <w:sz w:val="24"/>
          <w:szCs w:val="24"/>
        </w:rPr>
        <w:t xml:space="preserve">8.1  File Rejected by goAML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Invalid XML format (DTD prohibited)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Ensure the file starts with &lt;report&gt;, not &lt;?xml ...?&gt;. This tool does not add the XML declaration.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Missing required element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that all required fields are filled: rentity_id, submission_code, report_code, entity_reference, submission_date, currency_code_local, reason.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Invalid account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IBAN must be entered without spaces. Luxembourg IBANs start with LU.</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format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exactly YYYY-MM-DD. Single-digit months/days must be zero-padded: 2024-06-03, not 2024-6-3.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Missing from/to party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transaction must have one FROM party and one TO party with at least a country code.</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8.2  Bank Account Rules</w:t>
      </w:r>
    </w:p>
    <w:p>
      <w:pPr>
        <w:pStyle w:val="ListParagraph"/>
        <w:numPr>
          <w:ilvl w:val="0"/>
          <w:numId w:val="2"/>
        </w:numPr>
        <w:spacing w:before="40" w:after="40"/>
      </w:pPr>
      <w:r>
        <w:rPr>
          <w:rFonts w:ascii="Arial" w:cs="Arial" w:eastAsia="Arial" w:hAnsi="Arial"/>
          <w:color w:val="1A1A1A"/>
          <w:sz w:val="20"/>
          <w:szCs w:val="20"/>
        </w:rPr>
        <w:t xml:space="preserve">Luxembourg bank accounts: enter the IBAN in both the "Account Number" and "IBAN" fields.</w:t>
      </w:r>
    </w:p>
    <w:p>
      <w:pPr>
        <w:pStyle w:val="ListParagraph"/>
        <w:numPr>
          <w:ilvl w:val="0"/>
          <w:numId w:val="2"/>
        </w:numPr>
        <w:spacing w:before="40" w:after="40"/>
      </w:pPr>
      <w:r>
        <w:rPr>
          <w:rFonts w:ascii="Arial" w:cs="Arial" w:eastAsia="Arial" w:hAnsi="Arial"/>
          <w:color w:val="1A1A1A"/>
          <w:sz w:val="20"/>
          <w:szCs w:val="20"/>
        </w:rPr>
        <w:t xml:space="preserve">Do not add spaces or special characters in account/IBAN numbers.</w:t>
      </w:r>
    </w:p>
    <w:p>
      <w:pPr>
        <w:pStyle w:val="ListParagraph"/>
        <w:numPr>
          <w:ilvl w:val="0"/>
          <w:numId w:val="2"/>
        </w:numPr>
        <w:spacing w:before="40" w:after="40"/>
      </w:pPr>
      <w:r>
        <w:rPr>
          <w:rFonts w:ascii="Arial" w:cs="Arial" w:eastAsia="Arial" w:hAnsi="Arial"/>
          <w:color w:val="1A1A1A"/>
          <w:sz w:val="20"/>
          <w:szCs w:val="20"/>
        </w:rPr>
        <w:t xml:space="preserve">The SWIFT/BIC code identifies the receiving bank (e.g., CRFLLULL for CRF Luxembourg).</w:t>
      </w:r>
    </w:p>
    <w:p>
      <w:pPr>
        <w:spacing w:before="80" w:after="80"/>
      </w:pPr>
      <w:r>
        <w:t xml:space="preserve"/>
      </w:r>
    </w:p>
    <w:p>
      <w:pPr>
        <w:pStyle w:val="Heading2"/>
        <w:spacing w:before="240" w:after="80"/>
      </w:pPr>
      <w:r>
        <w:rPr>
          <w:rFonts w:ascii="Arial" w:cs="Arial" w:eastAsia="Arial" w:hAnsi="Arial"/>
          <w:b/>
          <w:bCs/>
          <w:color w:val="003366"/>
          <w:sz w:val="24"/>
          <w:szCs w:val="24"/>
        </w:rPr>
        <w:t xml:space="preserve">8.3  Multiple Transactions</w:t>
      </w:r>
    </w:p>
    <w:p>
      <w:pPr>
        <w:pStyle w:val="ListParagraph"/>
        <w:numPr>
          <w:ilvl w:val="0"/>
          <w:numId w:val="2"/>
        </w:numPr>
        <w:spacing w:before="40" w:after="40"/>
      </w:pPr>
      <w:r>
        <w:rPr>
          <w:rFonts w:ascii="Arial" w:cs="Arial" w:eastAsia="Arial" w:hAnsi="Arial"/>
          <w:color w:val="1A1A1A"/>
          <w:sz w:val="20"/>
          <w:szCs w:val="20"/>
        </w:rPr>
        <w:t xml:space="preserve">A single report can contain multiple transactions — add as many as needed using the sidebar.</w:t>
      </w:r>
    </w:p>
    <w:p>
      <w:pPr>
        <w:pStyle w:val="ListParagraph"/>
        <w:numPr>
          <w:ilvl w:val="0"/>
          <w:numId w:val="2"/>
        </w:numPr>
        <w:spacing w:before="40" w:after="40"/>
      </w:pPr>
      <w:r>
        <w:rPr>
          <w:rFonts w:ascii="Arial" w:cs="Arial" w:eastAsia="Arial" w:hAnsi="Arial"/>
          <w:color w:val="1A1A1A"/>
          <w:sz w:val="20"/>
          <w:szCs w:val="20"/>
        </w:rPr>
        <w:t xml:space="preserve">Per CRF rules, a single XML file should not exceed 500 transactions. For larger batches, split across multiple files.</w:t>
      </w:r>
    </w:p>
    <w:p>
      <w:pPr>
        <w:pStyle w:val="ListParagraph"/>
        <w:numPr>
          <w:ilvl w:val="0"/>
          <w:numId w:val="2"/>
        </w:numPr>
        <w:spacing w:before="40" w:after="40"/>
      </w:pPr>
      <w:r>
        <w:rPr>
          <w:rFonts w:ascii="Arial" w:cs="Arial" w:eastAsia="Arial" w:hAnsi="Arial"/>
          <w:color w:val="1A1A1A"/>
          <w:sz w:val="20"/>
          <w:szCs w:val="20"/>
        </w:rPr>
        <w:t xml:space="preserve">The first file (containing the narrative, indicators, and attachments) is the main declaration. Subsequent files reference the same case.</w:t>
      </w:r>
    </w:p>
    <w:p>
      <w:pPr>
        <w:spacing w:before="80" w:after="80"/>
      </w:pPr>
      <w:r>
        <w:t xml:space="preserve"/>
      </w:r>
    </w:p>
    <w:p>
      <w:pPr>
        <w:pStyle w:val="Heading2"/>
        <w:spacing w:before="240" w:after="80"/>
      </w:pPr>
      <w:r>
        <w:rPr>
          <w:rFonts w:ascii="Arial" w:cs="Arial" w:eastAsia="Arial" w:hAnsi="Arial"/>
          <w:b/>
          <w:bCs/>
          <w:color w:val="003366"/>
          <w:sz w:val="24"/>
          <w:szCs w:val="24"/>
        </w:rPr>
        <w:t xml:space="preserve">8.4  Training Environment</w:t>
      </w:r>
    </w:p>
    <w:p>
      <w:pPr>
        <w:spacing w:before="60" w:after="80"/>
      </w:pPr>
      <w:r>
        <w:rPr>
          <w:rFonts w:ascii="Arial" w:cs="Arial" w:eastAsia="Arial" w:hAnsi="Arial"/>
          <w:color w:val="1A1A1A"/>
          <w:sz w:val="20"/>
          <w:szCs w:val="20"/>
        </w:rPr>
        <w:t xml:space="preserve">Always test your XML in the goAML training environment before submitting to production:</w:t>
      </w:r>
    </w:p>
    <w:p>
      <w:pPr>
        <w:shd w:fill="F0F4F8" w:val="clear"/>
        <w:spacing w:before="40" w:after="40"/>
      </w:pPr>
      <w:r>
        <w:rPr>
          <w:rFonts w:ascii="Courier New" w:cs="Courier New" w:eastAsia="Courier New" w:hAnsi="Courier New"/>
          <w:color w:val="333333"/>
          <w:sz w:val="18"/>
          <w:szCs w:val="18"/>
        </w:rPr>
        <w:t xml:space="preserve">https://goaml-training.b2g.etat.lu/</w:t>
      </w:r>
    </w:p>
    <w:p>
      <w:pPr>
        <w:spacing w:before="80" w:after="80"/>
      </w:pPr>
      <w:r>
        <w:t xml:space="preserve"/>
      </w:r>
    </w:p>
    <w:p>
      <w:pPr>
        <w:spacing w:before="60" w:after="80"/>
      </w:pPr>
      <w:r>
        <w:rPr>
          <w:rFonts w:ascii="Arial" w:cs="Arial" w:eastAsia="Arial" w:hAnsi="Arial"/>
          <w:color w:val="1A1A1A"/>
          <w:sz w:val="20"/>
          <w:szCs w:val="20"/>
        </w:rPr>
        <w:t xml:space="preserve">Use the XML Report Validator in goAML to check your file against the current XSD before uploading.</w:t>
      </w:r>
    </w:p>
    <w:p>
      <w:pPr>
        <w:spacing w:before="80" w:after="80"/>
      </w:pPr>
      <w:r>
        <w:t xml:space="preserve"/>
      </w:r>
    </w:p>
    <w:p>
      <w:pPr>
        <w:pBdr>
          <w:bottom w:val="single" w:color="004B8D" w:sz="6" w:space="1"/>
        </w:pBdr>
        <w:spacing w:before="160" w:after="160"/>
      </w:pPr>
      <w:r>
        <w:t xml:space="preserve"/>
      </w:r>
    </w:p>
    <w:p>
      <w:pPr>
        <w:pStyle w:val="Heading1"/>
        <w:spacing w:before="360" w:after="120"/>
      </w:pPr>
      <w:r>
        <w:rPr>
          <w:rFonts w:ascii="Arial" w:cs="Arial" w:eastAsia="Arial" w:hAnsi="Arial"/>
          <w:b/>
          <w:bCs/>
          <w:color w:val="004B8D"/>
          <w:sz w:val="28"/>
          <w:szCs w:val="28"/>
        </w:rPr>
        <w:t xml:space="preserve">9. Quick Reference</w:t>
      </w:r>
    </w:p>
    <w:p>
      <w:pPr>
        <w:pStyle w:val="Heading2"/>
        <w:spacing w:before="240" w:after="80"/>
      </w:pPr>
      <w:r>
        <w:rPr>
          <w:rFonts w:ascii="Arial" w:cs="Arial" w:eastAsia="Arial" w:hAnsi="Arial"/>
          <w:b/>
          <w:bCs/>
          <w:color w:val="003366"/>
          <w:sz w:val="24"/>
          <w:szCs w:val="24"/>
        </w:rPr>
        <w:t xml:space="preserve">Report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Suspicious Transaction Report — most common for financial institutions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Suspicious Activity Report — for activity without specific transactions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RIRT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Response to Information Request — reply to a CRF request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TFTR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Terrorist Financing Transaction Report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Cash Transaction Report</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Submission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report (Envoi initial)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Amendment to an existing report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Supplementary information to an existing report</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Transaction Mode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Electronic transfer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Cash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Cheque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 payment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Account Type Codes  &lt;personal_account_type&gt;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Current account (compte courant)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Savings account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Credit card account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Debit card account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Insurance / investment contract</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Signatory Role Codes  &lt;role&gt;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holder (most common)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Authorized signatory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Beneficial owner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Director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w:t>
            </w:r>
          </w:p>
        </w:tc>
      </w:tr>
    </w:tbl>
    <w:p>
      <w:pPr>
        <w:spacing w:before="80" w:after="80"/>
      </w:pPr>
      <w:r>
        <w:t xml:space="preserve"/>
      </w:r>
    </w:p>
    <w:p>
      <w:pPr>
        <w:pStyle w:val="Heading2"/>
        <w:spacing w:before="240" w:after="80"/>
      </w:pPr>
      <w:r>
        <w:rPr>
          <w:rFonts w:ascii="Arial" w:cs="Arial" w:eastAsia="Arial" w:hAnsi="Arial"/>
          <w:b/>
          <w:bCs/>
          <w:color w:val="003366"/>
          <w:sz w:val="24"/>
          <w:szCs w:val="24"/>
        </w:rPr>
        <w:t xml:space="preserve">Useful Links</w:t>
      </w:r>
    </w:p>
    <w:p>
      <w:pPr>
        <w:pStyle w:val="ListParagraph"/>
        <w:numPr>
          <w:ilvl w:val="0"/>
          <w:numId w:val="2"/>
        </w:numPr>
        <w:spacing w:before="40" w:after="40"/>
      </w:pPr>
      <w:r>
        <w:rPr>
          <w:rFonts w:ascii="Arial" w:cs="Arial" w:eastAsia="Arial" w:hAnsi="Arial"/>
          <w:color w:val="1A1A1A"/>
          <w:sz w:val="20"/>
          <w:szCs w:val="20"/>
        </w:rPr>
        <w:t xml:space="preserve">CRF FAQ: https://faq.goaml.lu/</w:t>
      </w:r>
    </w:p>
    <w:p>
      <w:pPr>
        <w:pStyle w:val="ListParagraph"/>
        <w:numPr>
          <w:ilvl w:val="0"/>
          <w:numId w:val="2"/>
        </w:numPr>
        <w:spacing w:before="40" w:after="40"/>
      </w:pPr>
      <w:r>
        <w:rPr>
          <w:rFonts w:ascii="Arial" w:cs="Arial" w:eastAsia="Arial" w:hAnsi="Arial"/>
          <w:color w:val="1A1A1A"/>
          <w:sz w:val="20"/>
          <w:szCs w:val="20"/>
        </w:rPr>
        <w:t xml:space="preserve">goAML Training: https://goaml-training.b2g.etat.lu/</w:t>
      </w:r>
    </w:p>
    <w:p>
      <w:pPr>
        <w:pStyle w:val="ListParagraph"/>
        <w:numPr>
          <w:ilvl w:val="0"/>
          <w:numId w:val="2"/>
        </w:numPr>
        <w:spacing w:before="40" w:after="40"/>
      </w:pPr>
      <w:r>
        <w:rPr>
          <w:rFonts w:ascii="Arial" w:cs="Arial" w:eastAsia="Arial" w:hAnsi="Arial"/>
          <w:color w:val="1A1A1A"/>
          <w:sz w:val="20"/>
          <w:szCs w:val="20"/>
        </w:rPr>
        <w:t xml:space="preserve">XML Examples: https://faq.goaml.lu/sujets-it/exemples-xml/</w:t>
      </w:r>
    </w:p>
    <w:p>
      <w:pPr>
        <w:pStyle w:val="ListParagraph"/>
        <w:numPr>
          <w:ilvl w:val="0"/>
          <w:numId w:val="2"/>
        </w:numPr>
        <w:spacing w:before="40" w:after="40"/>
      </w:pPr>
      <w:r>
        <w:rPr>
          <w:rFonts w:ascii="Arial" w:cs="Arial" w:eastAsia="Arial" w:hAnsi="Arial"/>
          <w:color w:val="1A1A1A"/>
          <w:sz w:val="20"/>
          <w:szCs w:val="20"/>
        </w:rPr>
        <w:t xml:space="preserve">Current XSD: https://faq.goaml.lu/sujets-it/</w:t>
      </w:r>
    </w:p>
    <w:p>
      <w:pPr>
        <w:spacing w:before="80" w:after="80"/>
      </w:pPr>
      <w:r>
        <w:t xml:space="preserve"/>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6"/>
        <w:szCs w:val="16"/>
      </w:rPr>
      <w:t xml:space="preserve">Luxembourg CRF  ·  goAML 5.x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0"/>
      <w:gridCol w:w="3506"/>
    </w:tblGrid>
    <w:tr>
      <w:tc>
        <w:tcPr>
          <w:tcW w:type="dxa" w:w="6000"/>
          <w:tcBorders>
            <w:top w:val="none"/>
            <w:left w:val="none"/>
            <w:bottom w:val="single" w:color="004B8D" w:sz="4"/>
            <w:right w:val="none"/>
          </w:tcBorders>
          <w:shd w:fill="FFFFFF" w:val="clear"/>
          <w:tcMar>
            <w:top w:type="dxa" w:w="0"/>
            <w:left w:type="dxa" w:w="0"/>
            <w:bottom w:type="dxa" w:w="60"/>
            <w:right w:type="dxa" w:w="0"/>
          </w:tcMar>
        </w:tcPr>
        <w:p>
          <w:r>
            <w:rPr>
              <w:rFonts w:ascii="Arial" w:cs="Arial" w:eastAsia="Arial" w:hAnsi="Arial"/>
              <w:b/>
              <w:bCs/>
              <w:color w:val="004B8D"/>
              <w:sz w:val="18"/>
              <w:szCs w:val="18"/>
            </w:rPr>
            <w:t xml:space="preserve">goAML XML Report Generator</w:t>
          </w:r>
        </w:p>
      </w:tc>
      <w:tc>
        <w:tcPr>
          <w:tcW w:type="dxa" w:w="3506"/>
          <w:tcBorders>
            <w:top w:val="none"/>
            <w:left w:val="none"/>
            <w:bottom w:val="single" w:color="004B8D" w:sz="4"/>
            <w:right w:val="none"/>
          </w:tcBorders>
          <w:shd w:fill="FFFFFF" w:val="clear"/>
          <w:tcMar>
            <w:top w:type="dxa" w:w="0"/>
            <w:left w:type="dxa" w:w="0"/>
            <w:bottom w:type="dxa" w:w="60"/>
            <w:right w:type="dxa" w:w="0"/>
          </w:tcMar>
        </w:tcPr>
        <w:p>
          <w:pPr>
            <w:jc w:val="right"/>
          </w:pPr>
          <w:r>
            <w:rPr>
              <w:rFonts w:ascii="Arial" w:cs="Arial" w:eastAsia="Arial" w:hAnsi="Arial"/>
              <w:color w:val="888888"/>
              <w:sz w:val="18"/>
              <w:szCs w:val="18"/>
            </w:rPr>
            <w:t xml:space="preserve">User Manual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4B8D"/>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0336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055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2026-03-19T16:37:14.163Z</dcterms:created>
  <dcterms:modified xsi:type="dcterms:W3CDTF">2026-03-19T16:37:14.164Z</dcterms:modified>
</cp:coreProperties>
</file>

<file path=docProps/custom.xml><?xml version="1.0" encoding="utf-8"?>
<Properties xmlns="http://schemas.openxmlformats.org/officeDocument/2006/custom-properties" xmlns:vt="http://schemas.openxmlformats.org/officeDocument/2006/docPropsVTypes"/>
</file>