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before="0" w:line="269" w:lineRule="auto"/>
      </w:pPr>
      <w:r>
        <w:rPr>
          <w:b w:val="0"/>
          <w:i w:val="0"/>
        </w:rPr>
        <w:t>WEBSITE-ARBEITSFASSUNG</w:t>
      </w:r>
    </w:p>
    <w:p>
      <w:pPr>
        <w:pStyle w:val="Subtitle"/>
        <w:spacing w:after="200" w:before="0" w:line="269" w:lineRule="auto"/>
      </w:pPr>
      <w:r>
        <w:rPr>
          <w:b w:val="0"/>
          <w:i w:val="0"/>
        </w:rPr>
        <w:t>Satirische Vorderbühne, Herr Naheliegend und Übergang zu echten Assistenten</w:t>
      </w:r>
    </w:p>
    <w:p>
      <w:pPr>
        <w:spacing w:after="160"/>
      </w:pPr>
      <w:r>
        <w:rPr>
          <w:b/>
          <w:color w:val="911E26"/>
          <w:sz w:val="20"/>
        </w:rPr>
        <w:t>Version v0.1 · Arbeitsfassung · Deutsch</w:t>
      </w:r>
    </w:p>
    <w:p>
      <w:pPr>
        <w:spacing w:after="160" w:before="0" w:line="269" w:lineRule="auto"/>
      </w:pPr>
      <w:r>
        <w:rPr>
          <w:b w:val="0"/>
          <w:i w:val="0"/>
        </w:rPr>
        <w:t>Diese Fassung bündelt den aktuellen Stand für den ersten Webauftritt: seriöser Chat-Einstieg, stetige Eskalation, vier Startfiguren, wiederkehrende Rituale und ein klarer Produktübergang zu hilfreichen, wählbaren Assistenten.</w:t>
      </w:r>
    </w:p>
    <w:tbl>
      <w:tblPr>
        <w:tblW w:type="auto" w:w="0"/>
        <w:jc w:val="center"/>
        <w:tblLook w:firstColumn="1" w:firstRow="1" w:lastColumn="0" w:lastRow="0" w:noHBand="0" w:noVBand="1" w:val="04A0"/>
      </w:tblPr>
      <w:tblGrid>
        <w:gridCol w:w="9746"/>
      </w:tblGrid>
      <w:tr>
        <w:tc>
          <w:tcPr>
            <w:tcW w:type="dxa" w:w="9746"/>
            <w:shd w:fill="FBF8F8"/>
            <w:tcBorders>
              <w:left w:val="single" w:sz="10" w:color="D9D5D2"/>
              <w:top w:val="single" w:sz="10" w:color="911E26"/>
              <w:right w:val="single" w:sz="10" w:color="D9D5D2"/>
              <w:bottom w:val="single" w:sz="10" w:color="D9D5D2"/>
            </w:tcBorders>
          </w:tcPr>
          <w:p>
            <w:pPr>
              <w:spacing w:after="40"/>
            </w:pPr>
            <w:r>
              <w:rPr>
                <w:b/>
                <w:color w:val="911E26"/>
                <w:sz w:val="21"/>
              </w:rPr>
              <w:t>Arbeitsziel</w:t>
            </w:r>
          </w:p>
          <w:p>
            <w:pPr>
              <w:spacing w:line="252" w:lineRule="auto" w:after="0"/>
            </w:pPr>
            <w:r>
              <w:t>Die Seite soll gleichzeitig Aufmerksamkeit erzeugen, Wiedererkennung auslösen, Humor tragen und als früher Einstieg in reale Assistenzprodukte funktionieren.</w:t>
            </w:r>
          </w:p>
        </w:tc>
      </w:tr>
    </w:tbl>
    <w:p/>
    <w:p>
      <w:pPr>
        <w:pStyle w:val="Heading1"/>
      </w:pPr>
      <w:r>
        <w:t>Versionsblock</w:t>
      </w:r>
    </w:p>
    <w:tbl>
      <w:tblPr>
        <w:tblStyle w:val="TableGrid"/>
        <w:tblW w:type="auto" w:w="0"/>
        <w:jc w:val="center"/>
        <w:tblLook w:firstColumn="1" w:firstRow="1" w:lastColumn="0" w:lastRow="0" w:noHBand="0" w:noVBand="1" w:val="04A0"/>
      </w:tblPr>
      <w:tblGrid>
        <w:gridCol w:w="4873"/>
        <w:gridCol w:w="4873"/>
      </w:tblGrid>
      <w:tr>
        <w:tc>
          <w:tcPr>
            <w:tcW w:type="dxa" w:w="4873"/>
            <w:shd w:fill="F4F2F1"/>
            <w:vAlign w:val="center"/>
            <w:tcBorders>
              <w:left w:val="single" w:sz="6" w:color="D9D5D2"/>
              <w:top w:val="single" w:sz="6" w:color="D9D5D2"/>
              <w:right w:val="single" w:sz="6" w:color="D9D5D2"/>
              <w:bottom w:val="single" w:sz="6" w:color="D9D5D2"/>
            </w:tcBorders>
          </w:tcPr>
          <w:p>
            <w:pPr>
              <w:spacing w:after="0" w:line="240" w:lineRule="auto"/>
            </w:pPr>
            <w:r>
              <w:rPr>
                <w:b/>
                <w:sz w:val="18"/>
              </w:rPr>
              <w:t>Dokumenttyp</w:t>
            </w:r>
          </w:p>
        </w:tc>
        <w:tc>
          <w:tcPr>
            <w:tcW w:type="dxa" w:w="4873"/>
            <w:vAlign w:val="center"/>
            <w:tcBorders>
              <w:left w:val="single" w:sz="6" w:color="D9D5D2"/>
              <w:top w:val="single" w:sz="6" w:color="D9D5D2"/>
              <w:right w:val="single" w:sz="6" w:color="D9D5D2"/>
              <w:bottom w:val="single" w:sz="6" w:color="D9D5D2"/>
            </w:tcBorders>
          </w:tcPr>
          <w:p>
            <w:pPr>
              <w:spacing w:after="0" w:line="240" w:lineRule="auto"/>
            </w:pPr>
            <w:r>
              <w:rPr>
                <w:sz w:val="18"/>
              </w:rPr>
              <w:t>Website-Arbeitsfassung</w:t>
            </w:r>
          </w:p>
        </w:tc>
      </w:tr>
      <w:tr>
        <w:tc>
          <w:tcPr>
            <w:tcW w:type="dxa" w:w="4873"/>
            <w:shd w:fill="F4F2F1"/>
            <w:vAlign w:val="center"/>
            <w:tcBorders>
              <w:left w:val="single" w:sz="6" w:color="D9D5D2"/>
              <w:top w:val="single" w:sz="6" w:color="D9D5D2"/>
              <w:right w:val="single" w:sz="6" w:color="D9D5D2"/>
              <w:bottom w:val="single" w:sz="6" w:color="D9D5D2"/>
            </w:tcBorders>
          </w:tcPr>
          <w:p>
            <w:pPr>
              <w:spacing w:after="0" w:line="240" w:lineRule="auto"/>
            </w:pPr>
            <w:r>
              <w:rPr>
                <w:b/>
                <w:sz w:val="18"/>
              </w:rPr>
              <w:t>Version</w:t>
            </w:r>
          </w:p>
        </w:tc>
        <w:tc>
          <w:tcPr>
            <w:tcW w:type="dxa" w:w="4873"/>
            <w:vAlign w:val="center"/>
            <w:tcBorders>
              <w:left w:val="single" w:sz="6" w:color="D9D5D2"/>
              <w:top w:val="single" w:sz="6" w:color="D9D5D2"/>
              <w:right w:val="single" w:sz="6" w:color="D9D5D2"/>
              <w:bottom w:val="single" w:sz="6" w:color="D9D5D2"/>
            </w:tcBorders>
          </w:tcPr>
          <w:p>
            <w:pPr>
              <w:spacing w:after="0" w:line="240" w:lineRule="auto"/>
            </w:pPr>
            <w:r>
              <w:rPr>
                <w:sz w:val="18"/>
              </w:rPr>
              <w:t>v0.1</w:t>
            </w:r>
          </w:p>
        </w:tc>
      </w:tr>
      <w:tr>
        <w:tc>
          <w:tcPr>
            <w:tcW w:type="dxa" w:w="4873"/>
            <w:shd w:fill="F4F2F1"/>
            <w:vAlign w:val="center"/>
            <w:tcBorders>
              <w:left w:val="single" w:sz="6" w:color="D9D5D2"/>
              <w:top w:val="single" w:sz="6" w:color="D9D5D2"/>
              <w:right w:val="single" w:sz="6" w:color="D9D5D2"/>
              <w:bottom w:val="single" w:sz="6" w:color="D9D5D2"/>
            </w:tcBorders>
          </w:tcPr>
          <w:p>
            <w:pPr>
              <w:spacing w:after="0" w:line="240" w:lineRule="auto"/>
            </w:pPr>
            <w:r>
              <w:rPr>
                <w:b/>
                <w:sz w:val="18"/>
              </w:rPr>
              <w:t>Status</w:t>
            </w:r>
          </w:p>
        </w:tc>
        <w:tc>
          <w:tcPr>
            <w:tcW w:type="dxa" w:w="4873"/>
            <w:vAlign w:val="center"/>
            <w:tcBorders>
              <w:left w:val="single" w:sz="6" w:color="D9D5D2"/>
              <w:top w:val="single" w:sz="6" w:color="D9D5D2"/>
              <w:right w:val="single" w:sz="6" w:color="D9D5D2"/>
              <w:bottom w:val="single" w:sz="6" w:color="D9D5D2"/>
            </w:tcBorders>
          </w:tcPr>
          <w:p>
            <w:pPr>
              <w:spacing w:after="0" w:line="240" w:lineRule="auto"/>
            </w:pPr>
            <w:r>
              <w:rPr>
                <w:sz w:val="18"/>
              </w:rPr>
              <w:t>Arbeits- und Diskussionsfassung</w:t>
            </w:r>
          </w:p>
        </w:tc>
      </w:tr>
      <w:tr>
        <w:tc>
          <w:tcPr>
            <w:tcW w:type="dxa" w:w="4873"/>
            <w:shd w:fill="F4F2F1"/>
            <w:vAlign w:val="center"/>
            <w:tcBorders>
              <w:left w:val="single" w:sz="6" w:color="D9D5D2"/>
              <w:top w:val="single" w:sz="6" w:color="D9D5D2"/>
              <w:right w:val="single" w:sz="6" w:color="D9D5D2"/>
              <w:bottom w:val="single" w:sz="6" w:color="D9D5D2"/>
            </w:tcBorders>
          </w:tcPr>
          <w:p>
            <w:pPr>
              <w:spacing w:after="0" w:line="240" w:lineRule="auto"/>
            </w:pPr>
            <w:r>
              <w:rPr>
                <w:b/>
                <w:sz w:val="18"/>
              </w:rPr>
              <w:t>Sprache</w:t>
            </w:r>
          </w:p>
        </w:tc>
        <w:tc>
          <w:tcPr>
            <w:tcW w:type="dxa" w:w="4873"/>
            <w:vAlign w:val="center"/>
            <w:tcBorders>
              <w:left w:val="single" w:sz="6" w:color="D9D5D2"/>
              <w:top w:val="single" w:sz="6" w:color="D9D5D2"/>
              <w:right w:val="single" w:sz="6" w:color="D9D5D2"/>
              <w:bottom w:val="single" w:sz="6" w:color="D9D5D2"/>
            </w:tcBorders>
          </w:tcPr>
          <w:p>
            <w:pPr>
              <w:spacing w:after="0" w:line="240" w:lineRule="auto"/>
            </w:pPr>
            <w:r>
              <w:rPr>
                <w:sz w:val="18"/>
              </w:rPr>
              <w:t>Deutsch</w:t>
            </w:r>
          </w:p>
        </w:tc>
      </w:tr>
      <w:tr>
        <w:tc>
          <w:tcPr>
            <w:tcW w:type="dxa" w:w="4873"/>
            <w:shd w:fill="F4F2F1"/>
            <w:vAlign w:val="center"/>
            <w:tcBorders>
              <w:left w:val="single" w:sz="6" w:color="D9D5D2"/>
              <w:top w:val="single" w:sz="6" w:color="D9D5D2"/>
              <w:right w:val="single" w:sz="6" w:color="D9D5D2"/>
              <w:bottom w:val="single" w:sz="6" w:color="D9D5D2"/>
            </w:tcBorders>
          </w:tcPr>
          <w:p>
            <w:pPr>
              <w:spacing w:after="0" w:line="240" w:lineRule="auto"/>
            </w:pPr>
            <w:r>
              <w:rPr>
                <w:b/>
                <w:sz w:val="18"/>
              </w:rPr>
              <w:t>Zweck</w:t>
            </w:r>
          </w:p>
        </w:tc>
        <w:tc>
          <w:tcPr>
            <w:tcW w:type="dxa" w:w="4873"/>
            <w:vAlign w:val="center"/>
            <w:tcBorders>
              <w:left w:val="single" w:sz="6" w:color="D9D5D2"/>
              <w:top w:val="single" w:sz="6" w:color="D9D5D2"/>
              <w:right w:val="single" w:sz="6" w:color="D9D5D2"/>
              <w:bottom w:val="single" w:sz="6" w:color="D9D5D2"/>
            </w:tcBorders>
          </w:tcPr>
          <w:p>
            <w:pPr>
              <w:spacing w:after="0" w:line="240" w:lineRule="auto"/>
            </w:pPr>
            <w:r>
              <w:rPr>
                <w:sz w:val="18"/>
              </w:rPr>
              <w:t>Lesbare Grundlage zum gemeinsamen Durchgehen, Schärfen und Reduzieren</w:t>
            </w:r>
          </w:p>
        </w:tc>
      </w:tr>
    </w:tbl>
    <w:p/>
    <w:p>
      <w:pPr>
        <w:pStyle w:val="Heading1"/>
      </w:pPr>
      <w:r>
        <w:t>1. Grundidee</w:t>
      </w:r>
    </w:p>
    <w:p>
      <w:pPr>
        <w:spacing w:after="80" w:before="0" w:line="269" w:lineRule="auto"/>
      </w:pPr>
      <w:r>
        <w:rPr>
          <w:b w:val="0"/>
          <w:i w:val="0"/>
        </w:rPr>
        <w:t>Die Seite startet nicht mit Produktbehauptungen, sondern mit einer interaktiven Arbeitswelt. Der Besucher trifft zunächst auf scheinbar normale, höfliche Chatstimmen. Erst nach ein bis zwei Nachrichten zeigen sich kleine Risse. Danach eskaliert das Gespräch stetig: Kolleginnen und Kollegen mischen sich ein, Zuständigkeiten wachsen, Lösungen entfernen sich – bis Herr Naheliegend auftaucht und das Problem schlicht beendet.</w:t>
      </w:r>
    </w:p>
    <w:p>
      <w:pPr>
        <w:spacing w:after="20" w:line="252" w:lineRule="auto"/>
        <w:ind w:left="255" w:hanging="170"/>
      </w:pPr>
      <w:r>
        <w:rPr>
          <w:b/>
        </w:rPr>
        <w:t xml:space="preserve">• </w:t>
      </w:r>
      <w:r>
        <w:t>Vorderbühne: satirische Fehlformen von Führung, Service und Verfahrenslogik</w:t>
      </w:r>
    </w:p>
    <w:p>
      <w:pPr>
        <w:spacing w:after="20" w:line="252" w:lineRule="auto"/>
        <w:ind w:left="255" w:hanging="170"/>
      </w:pPr>
      <w:r>
        <w:rPr>
          <w:b/>
        </w:rPr>
        <w:t xml:space="preserve">• </w:t>
      </w:r>
      <w:r>
        <w:t>Kontrast: Herr Naheliegend als reale, praktische Gegenfigur</w:t>
      </w:r>
    </w:p>
    <w:p>
      <w:pPr>
        <w:spacing w:after="20" w:line="252" w:lineRule="auto"/>
        <w:ind w:left="255" w:hanging="170"/>
      </w:pPr>
      <w:r>
        <w:rPr>
          <w:b/>
        </w:rPr>
        <w:t xml:space="preserve">• </w:t>
      </w:r>
      <w:r>
        <w:t>Produktübergang: hilfreiche, wählbare Assistenten als echte nächste Stufe</w:t>
      </w:r>
    </w:p>
    <w:p>
      <w:pPr>
        <w:pStyle w:val="Heading1"/>
      </w:pPr>
      <w:r>
        <w:t>2. Seitenlogik</w:t>
      </w:r>
    </w:p>
    <w:p>
      <w:pPr>
        <w:spacing w:after="20" w:line="252" w:lineRule="auto"/>
        <w:ind w:left="255" w:hanging="170"/>
      </w:pPr>
      <w:r>
        <w:rPr>
          <w:b/>
        </w:rPr>
        <w:t xml:space="preserve">• </w:t>
      </w:r>
      <w:r>
        <w:t>Hero mit sofort verständlicher Prämisse</w:t>
      </w:r>
    </w:p>
    <w:p>
      <w:pPr>
        <w:spacing w:after="20" w:line="252" w:lineRule="auto"/>
        <w:ind w:left="255" w:hanging="170"/>
      </w:pPr>
      <w:r>
        <w:rPr>
          <w:b/>
        </w:rPr>
        <w:t xml:space="preserve">• </w:t>
      </w:r>
      <w:r>
        <w:t>Chat-Teaser und Figurenkarten für Herr Bereich, Frau Service, Dr. Formblatt und Herr Naheliegend</w:t>
      </w:r>
    </w:p>
    <w:p>
      <w:pPr>
        <w:spacing w:after="20" w:line="252" w:lineRule="auto"/>
        <w:ind w:left="255" w:hanging="170"/>
      </w:pPr>
      <w:r>
        <w:rPr>
          <w:b/>
        </w:rPr>
        <w:t xml:space="preserve">• </w:t>
      </w:r>
      <w:r>
        <w:t>Kurzer Erklärblock: erst höflich, dann unerquicklich, dann absurd</w:t>
      </w:r>
    </w:p>
    <w:p>
      <w:pPr>
        <w:spacing w:after="20" w:line="252" w:lineRule="auto"/>
        <w:ind w:left="255" w:hanging="170"/>
      </w:pPr>
      <w:r>
        <w:rPr>
          <w:b/>
        </w:rPr>
        <w:t xml:space="preserve">• </w:t>
      </w:r>
      <w:r>
        <w:t>Produktübergang: persönliche und nützliche Assistenten</w:t>
      </w:r>
    </w:p>
    <w:p>
      <w:pPr>
        <w:spacing w:after="20" w:line="252" w:lineRule="auto"/>
        <w:ind w:left="255" w:hanging="170"/>
      </w:pPr>
      <w:r>
        <w:rPr>
          <w:b/>
        </w:rPr>
        <w:t xml:space="preserve">• </w:t>
      </w:r>
      <w:r>
        <w:t>Abschluss-CTA für Preview, Beta oder Konfiguration</w:t>
      </w:r>
    </w:p>
    <w:tbl>
      <w:tblPr>
        <w:tblW w:type="auto" w:w="0"/>
        <w:jc w:val="center"/>
        <w:tblLook w:firstColumn="1" w:firstRow="1" w:lastColumn="0" w:lastRow="0" w:noHBand="0" w:noVBand="1" w:val="04A0"/>
      </w:tblPr>
      <w:tblGrid>
        <w:gridCol w:w="9746"/>
      </w:tblGrid>
      <w:tr>
        <w:tc>
          <w:tcPr>
            <w:tcW w:type="dxa" w:w="9746"/>
            <w:shd w:fill="F7F5F4"/>
            <w:tcBorders>
              <w:left w:val="single" w:sz="10" w:color="D9D5D2"/>
              <w:top w:val="single" w:sz="10" w:color="D9D5D2"/>
              <w:right w:val="single" w:sz="10" w:color="D9D5D2"/>
              <w:bottom w:val="single" w:sz="10" w:color="D9D5D2"/>
            </w:tcBorders>
          </w:tcPr>
          <w:p>
            <w:pPr>
              <w:spacing w:after="40"/>
            </w:pPr>
            <w:r>
              <w:rPr>
                <w:b/>
                <w:color w:val="232B38"/>
                <w:sz w:val="21"/>
              </w:rPr>
              <w:t>Leitgedanke für den Einstieg</w:t>
            </w:r>
          </w:p>
          <w:p>
            <w:pPr>
              <w:spacing w:line="252" w:lineRule="auto" w:after="0"/>
            </w:pPr>
            <w:r>
              <w:t>Nicht jede Stimme auf dieser Seite ist hilfreich.</w:t>
            </w:r>
          </w:p>
        </w:tc>
      </w:tr>
    </w:tbl>
    <w:p/>
    <w:p>
      <w:r>
        <w:br w:type="page"/>
      </w:r>
    </w:p>
    <w:p>
      <w:pPr>
        <w:pStyle w:val="Heading1"/>
      </w:pPr>
      <w:r>
        <w:t>3. Chatdramaturgie</w:t>
      </w:r>
    </w:p>
    <w:tbl>
      <w:tblPr>
        <w:tblW w:type="auto" w:w="0"/>
        <w:jc w:val="center"/>
        <w:tblLook w:firstColumn="1" w:firstRow="1" w:lastColumn="0" w:lastRow="0" w:noHBand="0" w:noVBand="1" w:val="04A0"/>
      </w:tblPr>
      <w:tblGrid>
        <w:gridCol w:w="3249"/>
        <w:gridCol w:w="3249"/>
        <w:gridCol w:w="3249"/>
      </w:tblGrid>
      <w:tr>
        <w:tc>
          <w:tcPr>
            <w:tcW w:type="dxa" w:w="3249"/>
            <w:shd w:fill="F4F2F1"/>
          </w:tcPr>
          <w:p>
            <w:r>
              <w:rPr>
                <w:b/>
                <w:sz w:val="18"/>
              </w:rPr>
              <w:t>Stufe</w:t>
            </w:r>
          </w:p>
        </w:tc>
        <w:tc>
          <w:tcPr>
            <w:tcW w:type="dxa" w:w="3249"/>
            <w:shd w:fill="F4F2F1"/>
          </w:tcPr>
          <w:p>
            <w:r>
              <w:rPr>
                <w:b/>
                <w:sz w:val="18"/>
              </w:rPr>
              <w:t>Funktion</w:t>
            </w:r>
          </w:p>
        </w:tc>
        <w:tc>
          <w:tcPr>
            <w:tcW w:type="dxa" w:w="3249"/>
            <w:shd w:fill="F4F2F1"/>
          </w:tcPr>
          <w:p>
            <w:r>
              <w:rPr>
                <w:b/>
                <w:sz w:val="18"/>
              </w:rPr>
              <w:t>Ton</w:t>
            </w:r>
          </w:p>
        </w:tc>
      </w:tr>
      <w:tr>
        <w:tc>
          <w:tcPr>
            <w:tcW w:type="dxa" w:w="3249"/>
            <w:shd w:fill="FBF8F8"/>
          </w:tcPr>
          <w:p>
            <w:pPr>
              <w:spacing w:after="0" w:line="240" w:lineRule="auto"/>
            </w:pPr>
            <w:r>
              <w:rPr>
                <w:sz w:val="18"/>
              </w:rPr>
              <w:t>A1</w:t>
            </w:r>
          </w:p>
        </w:tc>
        <w:tc>
          <w:tcPr>
            <w:tcW w:type="dxa" w:w="3249"/>
          </w:tcPr>
          <w:p>
            <w:pPr>
              <w:spacing w:after="0" w:line="240" w:lineRule="auto"/>
            </w:pPr>
            <w:r>
              <w:rPr>
                <w:sz w:val="18"/>
              </w:rPr>
              <w:t>voll seriöser Einstieg</w:t>
            </w:r>
          </w:p>
        </w:tc>
        <w:tc>
          <w:tcPr>
            <w:tcW w:type="dxa" w:w="3249"/>
          </w:tcPr>
          <w:p>
            <w:pPr>
              <w:spacing w:after="0" w:line="240" w:lineRule="auto"/>
            </w:pPr>
            <w:r>
              <w:rPr>
                <w:sz w:val="18"/>
              </w:rPr>
              <w:t>glaubwürdig, höflich, normal</w:t>
            </w:r>
          </w:p>
        </w:tc>
      </w:tr>
      <w:tr>
        <w:tc>
          <w:tcPr>
            <w:tcW w:type="dxa" w:w="3249"/>
            <w:shd w:fill="FBF8F8"/>
          </w:tcPr>
          <w:p>
            <w:pPr>
              <w:spacing w:after="0" w:line="240" w:lineRule="auto"/>
            </w:pPr>
            <w:r>
              <w:rPr>
                <w:sz w:val="18"/>
              </w:rPr>
              <w:t>A2</w:t>
            </w:r>
          </w:p>
        </w:tc>
        <w:tc>
          <w:tcPr>
            <w:tcW w:type="dxa" w:w="3249"/>
          </w:tcPr>
          <w:p>
            <w:pPr>
              <w:spacing w:after="0" w:line="240" w:lineRule="auto"/>
            </w:pPr>
            <w:r>
              <w:rPr>
                <w:sz w:val="18"/>
              </w:rPr>
              <w:t>erster kleiner Riss</w:t>
            </w:r>
          </w:p>
        </w:tc>
        <w:tc>
          <w:tcPr>
            <w:tcW w:type="dxa" w:w="3249"/>
          </w:tcPr>
          <w:p>
            <w:pPr>
              <w:spacing w:after="0" w:line="240" w:lineRule="auto"/>
            </w:pPr>
            <w:r>
              <w:rPr>
                <w:sz w:val="18"/>
              </w:rPr>
              <w:t>kurze Unlust, leichte Irritation</w:t>
            </w:r>
          </w:p>
        </w:tc>
      </w:tr>
      <w:tr>
        <w:tc>
          <w:tcPr>
            <w:tcW w:type="dxa" w:w="3249"/>
            <w:shd w:fill="FBF8F8"/>
          </w:tcPr>
          <w:p>
            <w:pPr>
              <w:spacing w:after="0" w:line="240" w:lineRule="auto"/>
            </w:pPr>
            <w:r>
              <w:rPr>
                <w:sz w:val="18"/>
              </w:rPr>
              <w:t>B1</w:t>
            </w:r>
          </w:p>
        </w:tc>
        <w:tc>
          <w:tcPr>
            <w:tcW w:type="dxa" w:w="3249"/>
          </w:tcPr>
          <w:p>
            <w:pPr>
              <w:spacing w:after="0" w:line="240" w:lineRule="auto"/>
            </w:pPr>
            <w:r>
              <w:rPr>
                <w:sz w:val="18"/>
              </w:rPr>
              <w:t>kontrollierte Entgleisung</w:t>
            </w:r>
          </w:p>
        </w:tc>
        <w:tc>
          <w:tcPr>
            <w:tcW w:type="dxa" w:w="3249"/>
          </w:tcPr>
          <w:p>
            <w:pPr>
              <w:spacing w:after="0" w:line="240" w:lineRule="auto"/>
            </w:pPr>
            <w:r>
              <w:rPr>
                <w:sz w:val="18"/>
              </w:rPr>
              <w:t>gereizt, kleinlich, passiv-aggressiv</w:t>
            </w:r>
          </w:p>
        </w:tc>
      </w:tr>
      <w:tr>
        <w:tc>
          <w:tcPr>
            <w:tcW w:type="dxa" w:w="3249"/>
            <w:shd w:fill="FBF8F8"/>
          </w:tcPr>
          <w:p>
            <w:pPr>
              <w:spacing w:after="0" w:line="240" w:lineRule="auto"/>
            </w:pPr>
            <w:r>
              <w:rPr>
                <w:sz w:val="18"/>
              </w:rPr>
              <w:t>B2</w:t>
            </w:r>
          </w:p>
        </w:tc>
        <w:tc>
          <w:tcPr>
            <w:tcW w:type="dxa" w:w="3249"/>
          </w:tcPr>
          <w:p>
            <w:pPr>
              <w:spacing w:after="0" w:line="240" w:lineRule="auto"/>
            </w:pPr>
            <w:r>
              <w:rPr>
                <w:sz w:val="18"/>
              </w:rPr>
              <w:t>Kollegen kommen dazu</w:t>
            </w:r>
          </w:p>
        </w:tc>
        <w:tc>
          <w:tcPr>
            <w:tcW w:type="dxa" w:w="3249"/>
          </w:tcPr>
          <w:p>
            <w:pPr>
              <w:spacing w:after="0" w:line="240" w:lineRule="auto"/>
            </w:pPr>
            <w:r>
              <w:rPr>
                <w:sz w:val="18"/>
              </w:rPr>
              <w:t>Verkomplizierung, Zuständigkeitsnebel</w:t>
            </w:r>
          </w:p>
        </w:tc>
      </w:tr>
      <w:tr>
        <w:tc>
          <w:tcPr>
            <w:tcW w:type="dxa" w:w="3249"/>
            <w:shd w:fill="FBF8F8"/>
          </w:tcPr>
          <w:p>
            <w:pPr>
              <w:spacing w:after="0" w:line="240" w:lineRule="auto"/>
            </w:pPr>
            <w:r>
              <w:rPr>
                <w:sz w:val="18"/>
              </w:rPr>
              <w:t>C1</w:t>
            </w:r>
          </w:p>
        </w:tc>
        <w:tc>
          <w:tcPr>
            <w:tcW w:type="dxa" w:w="3249"/>
          </w:tcPr>
          <w:p>
            <w:pPr>
              <w:spacing w:after="0" w:line="240" w:lineRule="auto"/>
            </w:pPr>
            <w:r>
              <w:rPr>
                <w:sz w:val="18"/>
              </w:rPr>
              <w:t>offen absurd</w:t>
            </w:r>
          </w:p>
        </w:tc>
        <w:tc>
          <w:tcPr>
            <w:tcW w:type="dxa" w:w="3249"/>
          </w:tcPr>
          <w:p>
            <w:pPr>
              <w:spacing w:after="0" w:line="240" w:lineRule="auto"/>
            </w:pPr>
            <w:r>
              <w:rPr>
                <w:sz w:val="18"/>
              </w:rPr>
              <w:t>unnötig groß, formal oder beleidigt</w:t>
            </w:r>
          </w:p>
        </w:tc>
      </w:tr>
      <w:tr>
        <w:tc>
          <w:tcPr>
            <w:tcW w:type="dxa" w:w="3249"/>
            <w:shd w:fill="FBF8F8"/>
          </w:tcPr>
          <w:p>
            <w:pPr>
              <w:spacing w:after="0" w:line="240" w:lineRule="auto"/>
            </w:pPr>
            <w:r>
              <w:rPr>
                <w:sz w:val="18"/>
              </w:rPr>
              <w:t>C2</w:t>
            </w:r>
          </w:p>
        </w:tc>
        <w:tc>
          <w:tcPr>
            <w:tcW w:type="dxa" w:w="3249"/>
          </w:tcPr>
          <w:p>
            <w:pPr>
              <w:spacing w:after="0" w:line="240" w:lineRule="auto"/>
            </w:pPr>
            <w:r>
              <w:rPr>
                <w:sz w:val="18"/>
              </w:rPr>
              <w:t>Ritual</w:t>
            </w:r>
          </w:p>
        </w:tc>
        <w:tc>
          <w:tcPr>
            <w:tcW w:type="dxa" w:w="3249"/>
          </w:tcPr>
          <w:p>
            <w:pPr>
              <w:spacing w:after="0" w:line="240" w:lineRule="auto"/>
            </w:pPr>
            <w:r>
              <w:rPr>
                <w:sz w:val="18"/>
              </w:rPr>
              <w:t>Herr Naheliegend, Papierknüllen, 'Schlaumeier!'</w:t>
            </w:r>
          </w:p>
        </w:tc>
      </w:tr>
    </w:tbl>
    <w:p/>
    <w:p>
      <w:pPr>
        <w:pStyle w:val="Heading1"/>
      </w:pPr>
      <w:r>
        <w:t>4. Startfiguren</w:t>
      </w:r>
    </w:p>
    <w:tbl>
      <w:tblPr>
        <w:tblW w:type="auto" w:w="0"/>
        <w:jc w:val="center"/>
        <w:tblLook w:firstColumn="1" w:firstRow="1" w:lastColumn="0" w:lastRow="0" w:noHBand="0" w:noVBand="1" w:val="04A0"/>
      </w:tblPr>
      <w:tblGrid>
        <w:gridCol w:w="4873"/>
        <w:gridCol w:w="4873"/>
      </w:tblGrid>
      <w:tr>
        <w:tc>
          <w:tcPr>
            <w:tcW w:type="dxa" w:w="4873"/>
            <w:shd w:fill="F7F5F4"/>
            <w:tcBorders>
              <w:left w:val="single" w:sz="8" w:color="D9D5D2"/>
              <w:top w:val="single" w:sz="8" w:color="D9D5D2"/>
              <w:right w:val="single" w:sz="8" w:color="D9D5D2"/>
              <w:bottom w:val="single" w:sz="8" w:color="D9D5D2"/>
            </w:tcBorders>
          </w:tcPr>
          <w:p>
            <w:pPr>
              <w:spacing w:after="40"/>
            </w:pPr>
            <w:r>
              <w:rPr>
                <w:b/>
                <w:color w:val="232B38"/>
                <w:sz w:val="0"/>
              </w:rPr>
              <w:t>Herr Bereich</w:t>
            </w:r>
          </w:p>
          <w:p>
            <w:pPr>
              <w:spacing w:after="40"/>
            </w:pPr>
            <w:r>
              <w:rPr>
                <w:i/>
                <w:sz w:val="18"/>
              </w:rPr>
              <w:t>Macht aus Kleinigkeiten Grundsatzfragen.</w:t>
            </w:r>
          </w:p>
          <w:p>
            <w:pPr>
              <w:spacing w:after="0" w:line="240" w:lineRule="auto"/>
              <w:ind w:left="142" w:hanging="102"/>
            </w:pPr>
            <w:r>
              <w:rPr>
                <w:b/>
                <w:sz w:val="0"/>
              </w:rPr>
              <w:t xml:space="preserve">• </w:t>
            </w:r>
            <w:r>
              <w:rPr>
                <w:sz w:val="0"/>
              </w:rPr>
              <w:t>muss Nebensachen wichtig machen</w:t>
            </w:r>
          </w:p>
          <w:p>
            <w:pPr>
              <w:spacing w:after="0" w:line="240" w:lineRule="auto"/>
              <w:ind w:left="142" w:hanging="102"/>
            </w:pPr>
            <w:r>
              <w:rPr>
                <w:b/>
                <w:sz w:val="0"/>
              </w:rPr>
              <w:t xml:space="preserve">• </w:t>
            </w:r>
            <w:r>
              <w:rPr>
                <w:sz w:val="0"/>
              </w:rPr>
              <w:t>darf Probleme nie klein sein lassen</w:t>
            </w:r>
          </w:p>
          <w:p>
            <w:pPr>
              <w:spacing w:after="0" w:line="240" w:lineRule="auto"/>
              <w:ind w:left="142" w:hanging="102"/>
            </w:pPr>
            <w:r>
              <w:rPr>
                <w:b/>
                <w:sz w:val="0"/>
              </w:rPr>
              <w:t xml:space="preserve">• </w:t>
            </w:r>
            <w:r>
              <w:rPr>
                <w:sz w:val="0"/>
              </w:rPr>
              <w:t>eskaliert über Anspruch und Standards</w:t>
            </w:r>
          </w:p>
        </w:tc>
        <w:tc>
          <w:tcPr>
            <w:tcW w:type="dxa" w:w="4873"/>
            <w:shd w:fill="F7F5F4"/>
            <w:tcBorders>
              <w:left w:val="single" w:sz="8" w:color="D9D5D2"/>
              <w:top w:val="single" w:sz="8" w:color="D9D5D2"/>
              <w:right w:val="single" w:sz="8" w:color="D9D5D2"/>
              <w:bottom w:val="single" w:sz="8" w:color="D9D5D2"/>
            </w:tcBorders>
          </w:tcPr>
          <w:p>
            <w:pPr>
              <w:spacing w:after="40"/>
            </w:pPr>
            <w:r>
              <w:rPr>
                <w:b/>
                <w:color w:val="232B38"/>
                <w:sz w:val="0"/>
              </w:rPr>
              <w:t>Frau Service</w:t>
            </w:r>
          </w:p>
          <w:p>
            <w:pPr>
              <w:spacing w:after="40"/>
            </w:pPr>
            <w:r>
              <w:rPr>
                <w:i/>
                <w:sz w:val="18"/>
              </w:rPr>
              <w:t>Klingt tadellos und hilft nur bedingt.</w:t>
            </w:r>
          </w:p>
          <w:p>
            <w:pPr>
              <w:spacing w:after="0" w:line="240" w:lineRule="auto"/>
              <w:ind w:left="142" w:hanging="102"/>
            </w:pPr>
            <w:r>
              <w:rPr>
                <w:b/>
                <w:sz w:val="0"/>
              </w:rPr>
              <w:t xml:space="preserve">• </w:t>
            </w:r>
            <w:r>
              <w:rPr>
                <w:sz w:val="0"/>
              </w:rPr>
              <w:t>startet makellos freundlich</w:t>
            </w:r>
          </w:p>
          <w:p>
            <w:pPr>
              <w:spacing w:after="0" w:line="240" w:lineRule="auto"/>
              <w:ind w:left="142" w:hanging="102"/>
            </w:pPr>
            <w:r>
              <w:rPr>
                <w:b/>
                <w:sz w:val="0"/>
              </w:rPr>
              <w:t xml:space="preserve">• </w:t>
            </w:r>
            <w:r>
              <w:rPr>
                <w:sz w:val="0"/>
              </w:rPr>
              <w:t>glättet Spannungen sprachlich</w:t>
            </w:r>
          </w:p>
          <w:p>
            <w:pPr>
              <w:spacing w:after="0" w:line="240" w:lineRule="auto"/>
              <w:ind w:left="142" w:hanging="102"/>
            </w:pPr>
            <w:r>
              <w:rPr>
                <w:b/>
                <w:sz w:val="0"/>
              </w:rPr>
              <w:t xml:space="preserve">• </w:t>
            </w:r>
            <w:r>
              <w:rPr>
                <w:sz w:val="0"/>
              </w:rPr>
              <w:t>holt lieber Kolleg:innen dazu</w:t>
            </w:r>
          </w:p>
        </w:tc>
      </w:tr>
      <w:tr>
        <w:tc>
          <w:tcPr>
            <w:tcW w:type="dxa" w:w="4873"/>
            <w:shd w:fill="F7F5F4"/>
            <w:tcBorders>
              <w:left w:val="single" w:sz="8" w:color="D9D5D2"/>
              <w:top w:val="single" w:sz="8" w:color="D9D5D2"/>
              <w:right w:val="single" w:sz="8" w:color="D9D5D2"/>
              <w:bottom w:val="single" w:sz="8" w:color="D9D5D2"/>
            </w:tcBorders>
          </w:tcPr>
          <w:p>
            <w:pPr>
              <w:spacing w:after="40"/>
            </w:pPr>
            <w:r>
              <w:rPr>
                <w:b/>
                <w:color w:val="232B38"/>
                <w:sz w:val="0"/>
              </w:rPr>
              <w:t>Dr. Formblatt</w:t>
            </w:r>
          </w:p>
          <w:p>
            <w:pPr>
              <w:spacing w:after="40"/>
            </w:pPr>
            <w:r>
              <w:rPr>
                <w:i/>
                <w:sz w:val="18"/>
              </w:rPr>
              <w:t>Findet für jedes Problem erst einmal die falsche Kategorie.</w:t>
            </w:r>
          </w:p>
          <w:p>
            <w:pPr>
              <w:spacing w:after="0" w:line="240" w:lineRule="auto"/>
              <w:ind w:left="142" w:hanging="102"/>
            </w:pPr>
            <w:r>
              <w:rPr>
                <w:b/>
                <w:sz w:val="0"/>
              </w:rPr>
              <w:t xml:space="preserve">• </w:t>
            </w:r>
            <w:r>
              <w:rPr>
                <w:sz w:val="0"/>
              </w:rPr>
              <w:t>formal, trocken, präzise</w:t>
            </w:r>
          </w:p>
          <w:p>
            <w:pPr>
              <w:spacing w:after="0" w:line="240" w:lineRule="auto"/>
              <w:ind w:left="142" w:hanging="102"/>
            </w:pPr>
            <w:r>
              <w:rPr>
                <w:b/>
                <w:sz w:val="0"/>
              </w:rPr>
              <w:t xml:space="preserve">• </w:t>
            </w:r>
            <w:r>
              <w:rPr>
                <w:sz w:val="0"/>
              </w:rPr>
              <w:t>misstraut dem Menschlichen</w:t>
            </w:r>
          </w:p>
          <w:p>
            <w:pPr>
              <w:spacing w:after="0" w:line="240" w:lineRule="auto"/>
              <w:ind w:left="142" w:hanging="102"/>
            </w:pPr>
            <w:r>
              <w:rPr>
                <w:b/>
                <w:sz w:val="0"/>
              </w:rPr>
              <w:t xml:space="preserve">• </w:t>
            </w:r>
            <w:r>
              <w:rPr>
                <w:sz w:val="0"/>
              </w:rPr>
              <w:t>wird unter Druck noch regelverliebter</w:t>
            </w:r>
          </w:p>
        </w:tc>
        <w:tc>
          <w:tcPr>
            <w:tcW w:type="dxa" w:w="4873"/>
            <w:shd w:fill="FBF8F8"/>
            <w:tcBorders>
              <w:left w:val="single" w:sz="8" w:color="D9D5D2"/>
              <w:top w:val="single" w:sz="8" w:color="D9D5D2"/>
              <w:right w:val="single" w:sz="8" w:color="D9D5D2"/>
              <w:bottom w:val="single" w:sz="8" w:color="D9D5D2"/>
            </w:tcBorders>
          </w:tcPr>
          <w:p>
            <w:pPr>
              <w:spacing w:after="40"/>
            </w:pPr>
            <w:r>
              <w:rPr>
                <w:b/>
                <w:color w:val="911E26"/>
                <w:sz w:val="0"/>
              </w:rPr>
              <w:t>Herr Naheliegend</w:t>
            </w:r>
          </w:p>
          <w:p>
            <w:pPr>
              <w:spacing w:after="40"/>
            </w:pPr>
            <w:r>
              <w:rPr>
                <w:i/>
                <w:sz w:val="18"/>
              </w:rPr>
              <w:t>Kommt spät. Löst es. Wird dafür beschimpft.</w:t>
            </w:r>
          </w:p>
          <w:p>
            <w:pPr>
              <w:spacing w:after="0" w:line="240" w:lineRule="auto"/>
              <w:ind w:left="142" w:hanging="102"/>
            </w:pPr>
            <w:r>
              <w:rPr>
                <w:b/>
                <w:sz w:val="0"/>
              </w:rPr>
              <w:t xml:space="preserve">• </w:t>
            </w:r>
            <w:r>
              <w:rPr>
                <w:sz w:val="0"/>
              </w:rPr>
              <w:t>spricht knapp und unprätentiös</w:t>
            </w:r>
          </w:p>
          <w:p>
            <w:pPr>
              <w:spacing w:after="0" w:line="240" w:lineRule="auto"/>
              <w:ind w:left="142" w:hanging="102"/>
            </w:pPr>
            <w:r>
              <w:rPr>
                <w:b/>
                <w:sz w:val="0"/>
              </w:rPr>
              <w:t xml:space="preserve">• </w:t>
            </w:r>
            <w:r>
              <w:rPr>
                <w:sz w:val="0"/>
              </w:rPr>
              <w:t>benennt das reale Problem</w:t>
            </w:r>
          </w:p>
          <w:p>
            <w:pPr>
              <w:spacing w:after="0" w:line="240" w:lineRule="auto"/>
              <w:ind w:left="142" w:hanging="102"/>
            </w:pPr>
            <w:r>
              <w:rPr>
                <w:b/>
                <w:sz w:val="0"/>
              </w:rPr>
              <w:t xml:space="preserve">• </w:t>
            </w:r>
            <w:r>
              <w:rPr>
                <w:sz w:val="0"/>
              </w:rPr>
              <w:t>beendet Szenen durch einfache Lösung</w:t>
            </w:r>
          </w:p>
        </w:tc>
      </w:tr>
    </w:tbl>
    <w:p>
      <w:r>
        <w:br w:type="page"/>
      </w:r>
    </w:p>
    <w:p>
      <w:pPr>
        <w:pStyle w:val="Heading1"/>
      </w:pPr>
      <w:r>
        <w:t>5. Rituale und wiederkehrende Elemente</w:t>
      </w:r>
    </w:p>
    <w:p>
      <w:pPr>
        <w:spacing w:after="20" w:line="252" w:lineRule="auto"/>
        <w:ind w:left="255" w:hanging="170"/>
      </w:pPr>
      <w:r>
        <w:rPr>
          <w:b/>
        </w:rPr>
        <w:t xml:space="preserve">• </w:t>
      </w:r>
      <w:r>
        <w:t>Seriöser Start, danach stetige Eskalation statt sofortigem Wahnsinn</w:t>
      </w:r>
    </w:p>
    <w:p>
      <w:pPr>
        <w:spacing w:after="20" w:line="252" w:lineRule="auto"/>
        <w:ind w:left="255" w:hanging="170"/>
      </w:pPr>
      <w:r>
        <w:rPr>
          <w:b/>
        </w:rPr>
        <w:t xml:space="preserve">• </w:t>
      </w:r>
      <w:r>
        <w:t>Kolleg:innen dürfen sich einmischen – ungefragt oder auf Anfrage</w:t>
      </w:r>
    </w:p>
    <w:p>
      <w:pPr>
        <w:spacing w:after="20" w:line="252" w:lineRule="auto"/>
        <w:ind w:left="255" w:hanging="170"/>
      </w:pPr>
      <w:r>
        <w:rPr>
          <w:b/>
        </w:rPr>
        <w:t xml:space="preserve">• </w:t>
      </w:r>
      <w:r>
        <w:t>Herr Naheliegend erscheint spät und sagt die naheliegende Lösung</w:t>
      </w:r>
    </w:p>
    <w:p>
      <w:pPr>
        <w:spacing w:after="20" w:line="252" w:lineRule="auto"/>
        <w:ind w:left="255" w:hanging="170"/>
      </w:pPr>
      <w:r>
        <w:rPr>
          <w:b/>
        </w:rPr>
        <w:t xml:space="preserve">• </w:t>
      </w:r>
      <w:r>
        <w:t>Danach: Papierknüllen, Papierkugeln, beleidigte Zwischenrufe</w:t>
      </w:r>
    </w:p>
    <w:p>
      <w:pPr>
        <w:spacing w:after="20" w:line="252" w:lineRule="auto"/>
        <w:ind w:left="255" w:hanging="170"/>
      </w:pPr>
      <w:r>
        <w:rPr>
          <w:b/>
        </w:rPr>
        <w:t xml:space="preserve">• </w:t>
      </w:r>
      <w:r>
        <w:t>Kernruf im Ensemble: 'Schlaumeier!'</w:t>
      </w:r>
    </w:p>
    <w:tbl>
      <w:tblPr>
        <w:tblW w:type="auto" w:w="0"/>
        <w:jc w:val="center"/>
        <w:tblLook w:firstColumn="1" w:firstRow="1" w:lastColumn="0" w:lastRow="0" w:noHBand="0" w:noVBand="1" w:val="04A0"/>
      </w:tblPr>
      <w:tblGrid>
        <w:gridCol w:w="9746"/>
      </w:tblGrid>
      <w:tr>
        <w:tc>
          <w:tcPr>
            <w:tcW w:type="dxa" w:w="9746"/>
            <w:shd w:fill="F7F5F4"/>
            <w:tcBorders>
              <w:left w:val="single" w:sz="10" w:color="D9D5D2"/>
              <w:top w:val="single" w:sz="10" w:color="D9D5D2"/>
              <w:right w:val="single" w:sz="10" w:color="D9D5D2"/>
              <w:bottom w:val="single" w:sz="10" w:color="D9D5D2"/>
            </w:tcBorders>
          </w:tcPr>
          <w:p>
            <w:pPr>
              <w:spacing w:after="40"/>
            </w:pPr>
            <w:r>
              <w:rPr>
                <w:b/>
                <w:color w:val="232B38"/>
                <w:sz w:val="21"/>
              </w:rPr>
              <w:t>Beispielszene in Kurzform</w:t>
            </w:r>
          </w:p>
          <w:p>
            <w:pPr>
              <w:spacing w:line="252" w:lineRule="auto" w:after="0"/>
            </w:pPr>
            <w:r>
              <w:t>Gast: 'Das WLAN geht nicht.' – Frau Service startet höflich, zeigt einen kleinen Riss, zieht Dr. Formblatt dazu, der das Problem formalisiert. Herr Naheliegend sagt: 'Das WLAN hängt. Ich starte den Router neu.' Danach fliegt Papier.</w:t>
            </w:r>
          </w:p>
        </w:tc>
      </w:tr>
    </w:tbl>
    <w:p/>
    <w:p>
      <w:pPr>
        <w:pStyle w:val="Heading1"/>
      </w:pPr>
      <w:r>
        <w:t>6. Hinweislogik und Vertrauen</w:t>
      </w:r>
    </w:p>
    <w:p>
      <w:pPr>
        <w:spacing w:after="80" w:before="0" w:line="269" w:lineRule="auto"/>
      </w:pPr>
      <w:r>
        <w:rPr>
          <w:b w:val="0"/>
          <w:i w:val="0"/>
        </w:rPr>
        <w:t>Die Überraschung soll wirken, aber die Seite darf nicht wie eine Täuschungsfalle gebaut sein. Deshalb steht sehr früh ein kleiner, trockener Hinweis: Die Stimmen auf dieser Seite sind nicht alle hilfreich. So bleibt der Effekt erhalten, ohne das Vertrauensversprechen zu beschädigen.</w:t>
      </w:r>
    </w:p>
    <w:p>
      <w:pPr>
        <w:spacing w:after="20" w:line="252" w:lineRule="auto"/>
        <w:ind w:left="255" w:hanging="170"/>
      </w:pPr>
      <w:r>
        <w:rPr>
          <w:b/>
        </w:rPr>
        <w:t xml:space="preserve">• </w:t>
      </w:r>
      <w:r>
        <w:t>Überraschung ja, Vertrauensbruch nein</w:t>
      </w:r>
    </w:p>
    <w:p>
      <w:pPr>
        <w:spacing w:after="20" w:line="252" w:lineRule="auto"/>
        <w:ind w:left="255" w:hanging="170"/>
      </w:pPr>
      <w:r>
        <w:rPr>
          <w:b/>
        </w:rPr>
        <w:t xml:space="preserve">• </w:t>
      </w:r>
      <w:r>
        <w:t>Kein aggressiver Disclaimer, sondern ein knapper semantischer Stolperstein</w:t>
      </w:r>
    </w:p>
    <w:p>
      <w:pPr>
        <w:spacing w:after="20" w:line="252" w:lineRule="auto"/>
        <w:ind w:left="255" w:hanging="170"/>
      </w:pPr>
      <w:r>
        <w:rPr>
          <w:b/>
        </w:rPr>
        <w:t xml:space="preserve">• </w:t>
      </w:r>
      <w:r>
        <w:t>Der Chat darf normal beginnen, aber nicht völlig irreführend wirken</w:t>
      </w:r>
    </w:p>
    <w:p>
      <w:pPr>
        <w:pStyle w:val="Heading1"/>
      </w:pPr>
      <w:r>
        <w:t>7. Erste Werbefassung / Startseiten-Copy</w:t>
      </w:r>
    </w:p>
    <w:tbl>
      <w:tblPr>
        <w:tblW w:type="auto" w:w="0"/>
        <w:jc w:val="center"/>
        <w:tblLook w:firstColumn="1" w:firstRow="1" w:lastColumn="0" w:lastRow="0" w:noHBand="0" w:noVBand="1" w:val="04A0"/>
      </w:tblPr>
      <w:tblGrid>
        <w:gridCol w:w="9746"/>
      </w:tblGrid>
      <w:tr>
        <w:tc>
          <w:tcPr>
            <w:tcW w:type="dxa" w:w="9746"/>
            <w:shd w:fill="FBF8F8"/>
            <w:tcBorders>
              <w:left w:val="single" w:sz="10" w:color="D9D5D2"/>
              <w:top w:val="single" w:sz="10" w:color="911E26"/>
              <w:right w:val="single" w:sz="10" w:color="D9D5D2"/>
              <w:bottom w:val="single" w:sz="10" w:color="D9D5D2"/>
            </w:tcBorders>
          </w:tcPr>
          <w:p>
            <w:pPr>
              <w:spacing w:after="40"/>
            </w:pPr>
            <w:r>
              <w:rPr>
                <w:b/>
                <w:color w:val="911E26"/>
                <w:sz w:val="21"/>
              </w:rPr>
              <w:t>Hero</w:t>
            </w:r>
          </w:p>
          <w:p>
            <w:pPr>
              <w:spacing w:line="252" w:lineRule="auto" w:after="0"/>
            </w:pPr>
            <w:r>
              <w:t>Headline: Nicht jede Stimme auf dieser Seite ist hilfreich.</w:t>
            </w:r>
            <w:r>
              <w:br/>
            </w:r>
            <w:r/>
            <w:r>
              <w:br/>
            </w:r>
            <w:r>
              <w:t>Subline: Sprechen Sie mit den Stimmen, an denen Arbeit, Service und Kommunikation scheitern. Und wenn es reicht: mit einer, die das Problem einfach löst.</w:t>
            </w:r>
          </w:p>
        </w:tc>
      </w:tr>
    </w:tbl>
    <w:p/>
    <w:p>
      <w:pPr>
        <w:pStyle w:val="Heading3"/>
        <w:spacing w:after="20" w:before="0" w:line="269" w:lineRule="auto"/>
      </w:pPr>
      <w:r>
        <w:rPr>
          <w:b w:val="0"/>
          <w:i w:val="0"/>
        </w:rPr>
        <w:t>Empfohlene Buttons:</w:t>
      </w:r>
    </w:p>
    <w:p>
      <w:pPr>
        <w:spacing w:after="20" w:line="252" w:lineRule="auto"/>
        <w:ind w:left="255" w:hanging="170"/>
      </w:pPr>
      <w:r>
        <w:rPr>
          <w:b/>
        </w:rPr>
        <w:t xml:space="preserve">• </w:t>
      </w:r>
      <w:r>
        <w:t>Chat öffnen</w:t>
      </w:r>
    </w:p>
    <w:p>
      <w:pPr>
        <w:spacing w:after="20" w:line="252" w:lineRule="auto"/>
        <w:ind w:left="255" w:hanging="170"/>
      </w:pPr>
      <w:r>
        <w:rPr>
          <w:b/>
        </w:rPr>
        <w:t xml:space="preserve">• </w:t>
      </w:r>
      <w:r>
        <w:t>Lieber gleich zur hilfreichen Stimme</w:t>
      </w:r>
    </w:p>
    <w:p>
      <w:r>
        <w:br w:type="page"/>
      </w:r>
    </w:p>
    <w:p>
      <w:pPr>
        <w:pStyle w:val="Heading1"/>
      </w:pPr>
      <w:r>
        <w:t>Figurenkarten</w:t>
      </w:r>
    </w:p>
    <w:tbl>
      <w:tblPr>
        <w:tblW w:type="auto" w:w="0"/>
        <w:jc w:val="center"/>
        <w:tblLook w:firstColumn="1" w:firstRow="1" w:lastColumn="0" w:lastRow="0" w:noHBand="0" w:noVBand="1" w:val="04A0"/>
      </w:tblPr>
      <w:tblGrid>
        <w:gridCol w:w="4873"/>
        <w:gridCol w:w="4873"/>
      </w:tblGrid>
      <w:tr>
        <w:tc>
          <w:tcPr>
            <w:tcW w:type="dxa" w:w="4873"/>
            <w:shd w:fill="F4F2F1"/>
            <w:tcBorders>
              <w:left w:val="single" w:sz="6" w:color="D9D5D2"/>
              <w:top w:val="single" w:sz="6" w:color="D9D5D2"/>
              <w:right w:val="single" w:sz="6" w:color="D9D5D2"/>
              <w:bottom w:val="single" w:sz="6" w:color="D9D5D2"/>
            </w:tcBorders>
          </w:tcPr>
          <w:p>
            <w:pPr>
              <w:spacing w:after="0"/>
            </w:pPr>
            <w:r>
              <w:rPr>
                <w:b/>
                <w:sz w:val="18"/>
              </w:rPr>
              <w:t>Herr Bereich</w:t>
            </w:r>
          </w:p>
        </w:tc>
        <w:tc>
          <w:tcPr>
            <w:tcW w:type="dxa" w:w="4873"/>
            <w:tcBorders>
              <w:left w:val="single" w:sz="6" w:color="D9D5D2"/>
              <w:top w:val="single" w:sz="6" w:color="D9D5D2"/>
              <w:right w:val="single" w:sz="6" w:color="D9D5D2"/>
              <w:bottom w:val="single" w:sz="6" w:color="D9D5D2"/>
            </w:tcBorders>
          </w:tcPr>
          <w:p>
            <w:pPr>
              <w:spacing w:after="0"/>
            </w:pPr>
            <w:r>
              <w:rPr>
                <w:sz w:val="18"/>
              </w:rPr>
              <w:t>Macht aus Kleinigkeiten Grundsatzfragen.</w:t>
            </w:r>
          </w:p>
        </w:tc>
      </w:tr>
      <w:tr>
        <w:tc>
          <w:tcPr>
            <w:tcW w:type="dxa" w:w="4873"/>
            <w:shd w:fill="F4F2F1"/>
            <w:tcBorders>
              <w:left w:val="single" w:sz="6" w:color="D9D5D2"/>
              <w:top w:val="single" w:sz="6" w:color="D9D5D2"/>
              <w:right w:val="single" w:sz="6" w:color="D9D5D2"/>
              <w:bottom w:val="single" w:sz="6" w:color="D9D5D2"/>
            </w:tcBorders>
          </w:tcPr>
          <w:p>
            <w:pPr>
              <w:spacing w:after="0"/>
            </w:pPr>
            <w:r>
              <w:rPr>
                <w:b/>
                <w:sz w:val="18"/>
              </w:rPr>
              <w:t>Frau Service</w:t>
            </w:r>
          </w:p>
        </w:tc>
        <w:tc>
          <w:tcPr>
            <w:tcW w:type="dxa" w:w="4873"/>
            <w:tcBorders>
              <w:left w:val="single" w:sz="6" w:color="D9D5D2"/>
              <w:top w:val="single" w:sz="6" w:color="D9D5D2"/>
              <w:right w:val="single" w:sz="6" w:color="D9D5D2"/>
              <w:bottom w:val="single" w:sz="6" w:color="D9D5D2"/>
            </w:tcBorders>
          </w:tcPr>
          <w:p>
            <w:pPr>
              <w:spacing w:after="0"/>
            </w:pPr>
            <w:r>
              <w:rPr>
                <w:sz w:val="18"/>
              </w:rPr>
              <w:t>Klingt tadellos und hilft nur bedingt.</w:t>
            </w:r>
          </w:p>
        </w:tc>
      </w:tr>
      <w:tr>
        <w:tc>
          <w:tcPr>
            <w:tcW w:type="dxa" w:w="4873"/>
            <w:shd w:fill="F4F2F1"/>
            <w:tcBorders>
              <w:left w:val="single" w:sz="6" w:color="D9D5D2"/>
              <w:top w:val="single" w:sz="6" w:color="D9D5D2"/>
              <w:right w:val="single" w:sz="6" w:color="D9D5D2"/>
              <w:bottom w:val="single" w:sz="6" w:color="D9D5D2"/>
            </w:tcBorders>
          </w:tcPr>
          <w:p>
            <w:pPr>
              <w:spacing w:after="0"/>
            </w:pPr>
            <w:r>
              <w:rPr>
                <w:b/>
                <w:sz w:val="18"/>
              </w:rPr>
              <w:t>Dr. Formblatt</w:t>
            </w:r>
          </w:p>
        </w:tc>
        <w:tc>
          <w:tcPr>
            <w:tcW w:type="dxa" w:w="4873"/>
            <w:tcBorders>
              <w:left w:val="single" w:sz="6" w:color="D9D5D2"/>
              <w:top w:val="single" w:sz="6" w:color="D9D5D2"/>
              <w:right w:val="single" w:sz="6" w:color="D9D5D2"/>
              <w:bottom w:val="single" w:sz="6" w:color="D9D5D2"/>
            </w:tcBorders>
          </w:tcPr>
          <w:p>
            <w:pPr>
              <w:spacing w:after="0"/>
            </w:pPr>
            <w:r>
              <w:rPr>
                <w:sz w:val="18"/>
              </w:rPr>
              <w:t>Findet für jedes Problem erst einmal die falsche Kategorie.</w:t>
            </w:r>
          </w:p>
        </w:tc>
      </w:tr>
      <w:tr>
        <w:tc>
          <w:tcPr>
            <w:tcW w:type="dxa" w:w="4873"/>
            <w:shd w:fill="F4F2F1"/>
            <w:tcBorders>
              <w:left w:val="single" w:sz="6" w:color="D9D5D2"/>
              <w:top w:val="single" w:sz="6" w:color="D9D5D2"/>
              <w:right w:val="single" w:sz="6" w:color="D9D5D2"/>
              <w:bottom w:val="single" w:sz="6" w:color="D9D5D2"/>
            </w:tcBorders>
          </w:tcPr>
          <w:p>
            <w:pPr>
              <w:spacing w:after="0"/>
            </w:pPr>
            <w:r>
              <w:rPr>
                <w:b/>
                <w:sz w:val="18"/>
              </w:rPr>
              <w:t>Herr Naheliegend</w:t>
            </w:r>
          </w:p>
        </w:tc>
        <w:tc>
          <w:tcPr>
            <w:tcW w:type="dxa" w:w="4873"/>
            <w:tcBorders>
              <w:left w:val="single" w:sz="6" w:color="D9D5D2"/>
              <w:top w:val="single" w:sz="6" w:color="D9D5D2"/>
              <w:right w:val="single" w:sz="6" w:color="D9D5D2"/>
              <w:bottom w:val="single" w:sz="6" w:color="D9D5D2"/>
            </w:tcBorders>
          </w:tcPr>
          <w:p>
            <w:pPr>
              <w:spacing w:after="0"/>
            </w:pPr>
            <w:r>
              <w:rPr>
                <w:sz w:val="18"/>
              </w:rPr>
              <w:t>Kommt spät. Löst es. Wird dafür beschimpft.</w:t>
            </w:r>
          </w:p>
        </w:tc>
      </w:tr>
    </w:tbl>
    <w:p/>
    <w:p>
      <w:pPr>
        <w:pStyle w:val="Heading1"/>
      </w:pPr>
      <w:r>
        <w:t>8. Produktübergang</w:t>
      </w:r>
    </w:p>
    <w:tbl>
      <w:tblPr>
        <w:tblW w:type="auto" w:w="0"/>
        <w:jc w:val="center"/>
        <w:tblLook w:firstColumn="1" w:firstRow="1" w:lastColumn="0" w:lastRow="0" w:noHBand="0" w:noVBand="1" w:val="04A0"/>
      </w:tblPr>
      <w:tblGrid>
        <w:gridCol w:w="9746"/>
      </w:tblGrid>
      <w:tr>
        <w:tc>
          <w:tcPr>
            <w:tcW w:type="dxa" w:w="9746"/>
            <w:shd w:fill="FBF8F8"/>
            <w:tcBorders>
              <w:left w:val="single" w:sz="10" w:color="D9D5D2"/>
              <w:top w:val="single" w:sz="10" w:color="911E26"/>
              <w:right w:val="single" w:sz="10" w:color="D9D5D2"/>
              <w:bottom w:val="single" w:sz="10" w:color="D9D5D2"/>
            </w:tcBorders>
          </w:tcPr>
          <w:p>
            <w:pPr>
              <w:spacing w:after="40"/>
            </w:pPr>
            <w:r>
              <w:rPr>
                <w:b/>
                <w:color w:val="911E26"/>
                <w:sz w:val="21"/>
              </w:rPr>
              <w:t>Übergangszeile</w:t>
            </w:r>
          </w:p>
          <w:p>
            <w:pPr>
              <w:spacing w:line="252" w:lineRule="auto" w:after="0"/>
            </w:pPr>
            <w:r>
              <w:t>Genug davon? Wählen Sie eine bessere Stimme.</w:t>
            </w:r>
          </w:p>
        </w:tc>
      </w:tr>
    </w:tbl>
    <w:p/>
    <w:p>
      <w:pPr>
        <w:spacing w:after="80" w:before="0" w:line="269" w:lineRule="auto"/>
      </w:pPr>
      <w:r>
        <w:rPr>
          <w:b w:val="0"/>
          <w:i w:val="0"/>
        </w:rPr>
        <w:t>Nach der satirischen Vorderbühne soll die Seite sichtbar in echte Assistenz kippen. Die Nutzer sollen verstehen: Wir zeigen erst, wie unerquicklich Systeme klingen können – und bieten dann Stimmen an, die tatsächlich helfen.</w:t>
      </w:r>
    </w:p>
    <w:p>
      <w:pPr>
        <w:spacing w:after="20" w:line="252" w:lineRule="auto"/>
        <w:ind w:left="255" w:hanging="170"/>
      </w:pPr>
      <w:r>
        <w:rPr>
          <w:b/>
        </w:rPr>
        <w:t xml:space="preserve">• </w:t>
      </w:r>
      <w:r>
        <w:t>Persönlicher Assistent</w:t>
      </w:r>
    </w:p>
    <w:p>
      <w:pPr>
        <w:spacing w:after="20" w:line="252" w:lineRule="auto"/>
        <w:ind w:left="255" w:hanging="170"/>
      </w:pPr>
      <w:r>
        <w:rPr>
          <w:b/>
        </w:rPr>
        <w:t xml:space="preserve">• </w:t>
      </w:r>
      <w:r>
        <w:t>Aufenthalts- und Reiseassistent</w:t>
      </w:r>
    </w:p>
    <w:p>
      <w:pPr>
        <w:spacing w:after="20" w:line="252" w:lineRule="auto"/>
        <w:ind w:left="255" w:hanging="170"/>
      </w:pPr>
      <w:r>
        <w:rPr>
          <w:b/>
        </w:rPr>
        <w:t xml:space="preserve">• </w:t>
      </w:r>
      <w:r>
        <w:t>Team- und Business-Assistent</w:t>
      </w:r>
    </w:p>
    <w:p>
      <w:pPr>
        <w:pStyle w:val="Heading1"/>
      </w:pPr>
      <w:r>
        <w:t>9. Sprachregeln für die erste Fassung</w:t>
      </w:r>
    </w:p>
    <w:p>
      <w:pPr>
        <w:spacing w:after="20" w:line="252" w:lineRule="auto"/>
        <w:ind w:left="255" w:hanging="170"/>
      </w:pPr>
      <w:r>
        <w:rPr>
          <w:b/>
        </w:rPr>
        <w:t xml:space="preserve">• </w:t>
      </w:r>
      <w:r>
        <w:t>weniger Wortneuschöpfungen</w:t>
      </w:r>
    </w:p>
    <w:p>
      <w:pPr>
        <w:spacing w:after="20" w:line="252" w:lineRule="auto"/>
        <w:ind w:left="255" w:hanging="170"/>
      </w:pPr>
      <w:r>
        <w:rPr>
          <w:b/>
        </w:rPr>
        <w:t xml:space="preserve">• </w:t>
      </w:r>
      <w:r>
        <w:t>mehr alltagssprachliche Schärfe</w:t>
      </w:r>
    </w:p>
    <w:p>
      <w:pPr>
        <w:spacing w:after="20" w:line="252" w:lineRule="auto"/>
        <w:ind w:left="255" w:hanging="170"/>
      </w:pPr>
      <w:r>
        <w:rPr>
          <w:b/>
        </w:rPr>
        <w:t xml:space="preserve">• </w:t>
      </w:r>
      <w:r>
        <w:t>kurze, zitierfähige Sätze</w:t>
      </w:r>
    </w:p>
    <w:p>
      <w:pPr>
        <w:spacing w:after="20" w:line="252" w:lineRule="auto"/>
        <w:ind w:left="255" w:hanging="170"/>
      </w:pPr>
      <w:r>
        <w:rPr>
          <w:b/>
        </w:rPr>
        <w:t xml:space="preserve">• </w:t>
      </w:r>
      <w:r>
        <w:t>Humor aus bröckelnder Professionalität, nicht aus Klamauk</w:t>
      </w:r>
    </w:p>
    <w:p>
      <w:pPr>
        <w:spacing w:after="20" w:line="252" w:lineRule="auto"/>
        <w:ind w:left="255" w:hanging="170"/>
      </w:pPr>
      <w:r>
        <w:rPr>
          <w:b/>
        </w:rPr>
        <w:t xml:space="preserve">• </w:t>
      </w:r>
      <w:r>
        <w:t>Figuren sollen prompt-sensitiv reagieren, nicht Skripte abspulen</w:t>
      </w:r>
    </w:p>
    <w:p>
      <w:pPr>
        <w:pStyle w:val="Heading1"/>
      </w:pPr>
      <w:r>
        <w:t>10. Nächste Schritte</w:t>
      </w:r>
    </w:p>
    <w:p>
      <w:pPr>
        <w:spacing w:after="20" w:line="252" w:lineRule="auto"/>
        <w:ind w:left="255" w:hanging="170"/>
      </w:pPr>
      <w:r>
        <w:rPr>
          <w:b/>
        </w:rPr>
        <w:t xml:space="preserve">• </w:t>
      </w:r>
      <w:r>
        <w:t>sprachlich schärfen und reduzieren</w:t>
      </w:r>
    </w:p>
    <w:p>
      <w:pPr>
        <w:spacing w:after="20" w:line="252" w:lineRule="auto"/>
        <w:ind w:left="255" w:hanging="170"/>
      </w:pPr>
      <w:r>
        <w:rPr>
          <w:b/>
        </w:rPr>
        <w:t xml:space="preserve">• </w:t>
      </w:r>
      <w:r>
        <w:t>3–5 Testszenen im Browser durchspielen</w:t>
      </w:r>
    </w:p>
    <w:p>
      <w:pPr>
        <w:spacing w:after="20" w:line="252" w:lineRule="auto"/>
        <w:ind w:left="255" w:hanging="170"/>
      </w:pPr>
      <w:r>
        <w:rPr>
          <w:b/>
        </w:rPr>
        <w:t xml:space="preserve">• </w:t>
      </w:r>
      <w:r>
        <w:t>erste klickbare Webfassung bauen</w:t>
      </w:r>
    </w:p>
    <w:p>
      <w:pPr>
        <w:spacing w:after="20" w:line="252" w:lineRule="auto"/>
        <w:ind w:left="255" w:hanging="170"/>
      </w:pPr>
      <w:r>
        <w:rPr>
          <w:b/>
        </w:rPr>
        <w:t xml:space="preserve">• </w:t>
      </w:r>
      <w:r>
        <w:t>danach Produktbereich für echte Assistenten andocken</w:t>
      </w:r>
    </w:p>
    <w:p>
      <w:pPr>
        <w:pStyle w:val="Heading2"/>
      </w:pPr>
      <w:r>
        <w:t>Hinweis</w:t>
      </w:r>
    </w:p>
    <w:p>
      <w:pPr>
        <w:spacing w:after="0" w:before="0" w:line="269" w:lineRule="auto"/>
      </w:pPr>
      <w:r>
        <w:rPr>
          <w:b w:val="0"/>
          <w:i w:val="0"/>
        </w:rPr>
        <w:t>Diese Fassung ist bewusst als Arbeitsstand angelegt. Sie soll leicht lesbar sein, nicht maximal vollständig. Im nächsten Durchgang können Ton, Reihenfolge und Dichte reduziert oder präzisiert werden.</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773"/>
        <w:sz w:val="16"/>
      </w:rPr>
      <w:t xml:space="preserve">Seite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773"/>
        <w:sz w:val="16"/>
      </w:rPr>
      <w:t>Website-Arbeitsfassung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911E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32B3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32B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32B3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F67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