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ính: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lan: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cục bộ, phạm vi nhỏ trong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à,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học hay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ông ty.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cao, chi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ẻ.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man: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ô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ị, phạm vi trong một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ố. kết nối nhiều lan lại.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trung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ình, chi phí cao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 lan.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wan: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ạng diện rộng, phạm vi to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 qu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hay quốc tế. kết nối qua vệ tinh,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truyền xa. tốc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thấp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ơn, chi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cao.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ứng dụng thực tế: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lan: phòng máy tính trong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ờng, mạng wifi trong qu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án cafe.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man: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thống mạng kết nối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ại học trong một 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wan: internet toàn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ầu.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ồng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khác 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ểm chung: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ều 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 thống kết nối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áy tính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ể chia sẻ dữ liệu.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khác bi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ệt: phạm vi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 nhau,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chi phí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ác. lan nhanh và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ẻ. man lớn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ơn,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vừa. wan rộng nhất nh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ưng chi 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ắt 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ộ chậm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ồ minh họa: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 &lt; man &lt; wan (ph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ạm vi mở rộng dần).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