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pStyle w:val="Title"/>
        <w:spacing w:after="40"/>
        <w:jc w:val="center"/>
      </w:pPr>
      <w:r>
        <w:t>FUNDAMENTALS OF MACHINE LEARNING</w:t>
      </w:r>
    </w:p>
    <w:p>
      <w:pPr>
        <w:pStyle w:val="Subtitle"/>
        <w:spacing w:after="440"/>
        <w:jc w:val="center"/>
      </w:pPr>
      <w:r>
        <w:t>END-OF-COURSE PROJECT BRIEF</w:t>
      </w:r>
    </w:p>
    <w:p>
      <w:pPr>
        <w:jc w:val="center"/>
      </w:pPr>
      <w:r>
        <w:t>PROJECT 08</w:t>
      </w:r>
    </w:p>
    <w:p>
      <w:pPr>
        <w:pStyle w:val="Heading1"/>
        <w:spacing w:before="160" w:after="360"/>
        <w:jc w:val="center"/>
      </w:pPr>
      <w:r>
        <w:t>CREDIT CARD PAYMENT DEFAULT RISK SCREENING</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232"/>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t>INFORMATION</w:t>
            </w:r>
          </w:p>
        </w:tc>
        <w:tc>
          <w:tcPr>
            <w:tcW w:type="dxa" w:w="7560"/>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t>CONTENT</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Machine learning topic</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Lesson 3 — Confusion matrices, metrics, and generalization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Class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12523W.1</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Instructor</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Assoc. Prof. Dr. NGUYEN VAN HAU</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Format</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Team of 02 students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Duration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06 weeks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Level</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Intermediate — optional extensions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Data</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Default of Credit Card Clients</w:t>
            </w:r>
          </w:p>
        </w:tc>
      </w:tr>
    </w:tbl>
    <w:p/>
    <w:p>
      <w:pPr>
        <w:pStyle w:val="Heading2"/>
        <w:jc w:val="center"/>
      </w:pPr>
      <w:r>
        <w:t>Brief objective</w:t>
      </w:r>
    </w:p>
    <w:p>
      <w:pPr>
        <w:ind w:left="648" w:right="648"/>
        <w:jc w:val="center"/>
      </w:pPr>
      <w:r>
        <w:t>The customer service team wants to identify early accounts that need payment reminders or financial counseling, not automatically deny credit.</w:t>
      </w:r>
    </w:p>
    <w:p>
      <w:pPr>
        <w:pStyle w:val="Smallnote"/>
        <w:spacing w:before="360"/>
        <w:jc w:val="center"/>
      </w:pPr>
      <w:r>
        <w:t>Project assignment brief • End-of-course version</w:t>
      </w:r>
    </w:p>
    <w:p>
      <w:r>
        <w:br w:type="page"/>
      </w:r>
    </w:p>
    <w:p>
      <w:pPr>
        <w:pStyle w:val="Heading1"/>
      </w:pPr>
      <w:r>
        <w:t>1. Context, objectives, and research question</w:t>
      </w:r>
    </w:p>
    <w:p>
      <w:pPr>
        <w:pStyle w:val="Heading2"/>
      </w:pPr>
      <w:r>
        <w:t>Practical context</w:t>
      </w:r>
    </w:p>
    <w:p>
      <w:r>
        <w:t>The customer service team wants to identify early accounts that need payment reminders or financial counseling, not automatically deny credit.</w:t>
      </w:r>
    </w:p>
    <w:p>
      <w:pPr>
        <w:pStyle w:val="Heading2"/>
      </w:pPr>
      <w:r>
        <w:t>Research question</w:t>
      </w:r>
    </w:p>
    <w:p>
      <w:r>
        <w:t>How well can a probability model identify the group at risk of default in the following month when the data are imbalanced?</w:t>
      </w:r>
    </w:p>
    <w:p>
      <w:pPr>
        <w:pStyle w:val="Heading2"/>
      </w:pPr>
      <w:r>
        <w:t>Required learning objectives</w:t>
      </w:r>
    </w:p>
    <w:p>
      <w:pPr>
        <w:pStyle w:val="ListBullet"/>
        <w:spacing w:after="50"/>
      </w:pPr>
      <w:r>
        <w:t>Correctly apply the knowledge from Lesson 3 — confusion matrices, metrics, and generalization; explain the assumptions, advantages, and disadvantages of the methods.</w:t>
      </w:r>
    </w:p>
    <w:p>
      <w:pPr>
        <w:pStyle w:val="ListBullet"/>
        <w:spacing w:after="50"/>
      </w:pPr>
      <w:r>
        <w:t>Build a reproducible pipeline from raw data to results; keep an independent test set and report honestly.</w:t>
      </w:r>
    </w:p>
    <w:p>
      <w:pPr>
        <w:pStyle w:val="ListBullet"/>
        <w:spacing w:after="50"/>
      </w:pPr>
      <w:r>
        <w:t>Compare against a simple baseline and analyze errors rather than reporting only a single score.</w:t>
      </w:r>
    </w:p>
    <w:p>
      <w:pPr>
        <w:pStyle w:val="ListBullet"/>
        <w:spacing w:after="50"/>
      </w:pPr>
      <w:r>
        <w:t>Package the results as a web application with an API, input validation, and information about model limitations.</w:t>
      </w:r>
    </w:p>
    <w:p>
      <w:pPr>
        <w:pStyle w:val="ListBullet"/>
        <w:spacing w:after="50"/>
      </w:pPr>
      <w:r>
        <w:t>Distribute work fairly between the two members, as evidenced by Git history, logs, and the individual oral examination.</w:t>
      </w:r>
    </w:p>
    <w:p>
      <w:pPr>
        <w:pStyle w:val="Heading2"/>
      </w:pPr>
      <w:r>
        <w:t>Machine learning problem specification</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232"/>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t>Component</w:t>
            </w:r>
          </w:p>
        </w:tc>
        <w:tc>
          <w:tcPr>
            <w:tcW w:type="dxa" w:w="7560"/>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t>Requirement</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Problem type</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Binary classification and cost-based threshold selection.</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Unit of observation</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One customer at the data snapshot time.</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Inputs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Credit limit, repayment-status history, bill amounts, and payment amounts.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Outputs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Probability of default in the following month, risk group, and system-level explanations.</w:t>
            </w:r>
          </w:p>
        </w:tc>
      </w:tr>
      <w:tr>
        <w:trPr>
          <w:cantSplit/>
        </w:trPr>
        <w:tc>
          <w:tcPr>
            <w:tcW w:type="dxa" w:w="223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Primary metrics</w:t>
            </w:r>
          </w:p>
        </w:tc>
        <w:tc>
          <w:tcPr>
            <w:tcW w:type="dxa" w:w="756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PR-AUC, ROC-AUC, recall for the default class, precision, calibration/Brier score.</w:t>
            </w:r>
          </w:p>
        </w:tc>
      </w:tr>
    </w:tbl>
    <w:p>
      <w:pPr>
        <w:pStyle w:val="Heading2"/>
      </w:pPr>
      <w:r>
        <w:t>Minimum success criteria</w:t>
      </w:r>
    </w:p>
    <w:p>
      <w:r>
        <w:t>The team must be able to run the full pipeline on another machine, outperform the baseline or clearly explain why it does not, and demonstrate that splitting and preprocessing do not leak information.</w:t>
      </w:r>
    </w:p>
    <w:p>
      <w:r>
        <w:br w:type="page"/>
      </w:r>
    </w:p>
    <w:p>
      <w:pPr>
        <w:pStyle w:val="Heading1"/>
      </w:pPr>
      <w:r>
        <w:t>2. Real-world data and usage rules</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2088"/>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t>Attribute</w:t>
            </w:r>
          </w:p>
        </w:tc>
        <w:tc>
          <w:tcPr>
            <w:tcW w:type="dxa" w:w="7704"/>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t>Verified information</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Dataset name</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Default of Credit Card Clients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Size</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30,000 customers, 23 predictor variables</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Usage rights</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UCI, CC BY 4.0.</w:t>
            </w:r>
          </w:p>
        </w:tc>
      </w:tr>
      <w:tr>
        <w:trPr>
          <w:cantSplit/>
        </w:trPr>
        <w:tc>
          <w:tcPr>
            <w:tcW w:type="dxa" w:w="208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Recommended scope</w:t>
            </w:r>
          </w:p>
        </w:tc>
        <w:tc>
          <w:tcPr>
            <w:tcW w:type="dxa" w:w="770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Keep the test set independent; clarify PAY_* codes; do not treat ID as a feature; analyze class distribution.</w:t>
            </w:r>
          </w:p>
        </w:tc>
      </w:tr>
    </w:tbl>
    <w:p>
      <w:pPr>
        <w:pStyle w:val="Heading2"/>
      </w:pPr>
      <w:r>
        <w:t>Official source</w:t>
      </w:r>
    </w:p>
    <w:p>
      <w:r>
        <w:t>Dataset page: https://archive.ics.uci.edu/dataset/350/default%2Bof%2Bcredit%2Bcard%2Bclients</w:t>
      </w:r>
    </w:p>
    <w:p>
      <w:r>
        <w:t>DOI/documentation: https://doi.org/10.24432/C55S3H</w:t>
      </w:r>
    </w:p>
    <w:p>
      <w:pPr>
        <w:pStyle w:val="Heading2"/>
      </w:pPr>
      <w:r>
        <w:t>Required data documentation</w:t>
      </w:r>
    </w:p>
    <w:p>
      <w:pPr>
        <w:pStyle w:val="ListBullet"/>
        <w:spacing w:after="50"/>
      </w:pPr>
      <w:r>
        <w:t>Data README: source, download date, files used, checksum or version, license/terms, and citation.</w:t>
      </w:r>
    </w:p>
    <w:p>
      <w:pPr>
        <w:pStyle w:val="ListBullet"/>
        <w:spacing w:after="50"/>
      </w:pPr>
      <w:r>
        <w:t>Data dictionary: variable name, type, unit, feature/target/ID role, and when the variable becomes available.</w:t>
      </w:r>
    </w:p>
    <w:p>
      <w:pPr>
        <w:pStyle w:val="ListBullet"/>
        <w:spacing w:after="50"/>
      </w:pPr>
      <w:r>
        <w:t>Quality report: missing values, duplicates, outliers, class/target distribution, and every removed row with its reason.</w:t>
      </w:r>
    </w:p>
    <w:p>
      <w:pPr>
        <w:pStyle w:val="ListBullet"/>
        <w:spacing w:after="50"/>
      </w:pPr>
      <w:r>
        <w:t>Do not put large or restricted data in Git; provide a download script or reproduction instructions.</w:t>
      </w:r>
    </w:p>
    <w:p>
      <w:pPr>
        <w:pStyle w:val="Heading2"/>
      </w:pPr>
      <w:r>
        <w:t>Timeline and data leakage</w:t>
      </w:r>
    </w:p>
    <w:p>
      <w:r>
        <w:t>Use only information available before the target month. Perform preprocessing and class balancing only within the training fold; never oversample before splitting.</w:t>
      </w:r>
    </w:p>
    <w:p>
      <w:pPr>
        <w:pStyle w:val="Heading2"/>
      </w:pPr>
      <w:r>
        <w:t>Non-negotiable rules</w:t>
      </w:r>
    </w:p>
    <w:p>
      <w:pPr>
        <w:pStyle w:val="ListBullet"/>
        <w:spacing w:after="50"/>
      </w:pPr>
      <w:r>
        <w:t>Split train/validation/test before any data-learning step; every imputer, scaler, encoder, feature selection method, PCA, or resampling method must be fit on the appropriate training portion.</w:t>
      </w:r>
    </w:p>
    <w:p>
      <w:pPr>
        <w:pStyle w:val="ListBullet"/>
        <w:spacing w:after="50"/>
      </w:pPr>
      <w:r>
        <w:t>Use the test set only once for final reporting. Do not select a model, threshold, or parameter based on the test set.</w:t>
      </w:r>
    </w:p>
    <w:p>
      <w:pPr>
        <w:pStyle w:val="ListBullet"/>
        <w:spacing w:after="50"/>
      </w:pPr>
      <w:r>
        <w:t>Record the random_state and environment; if the data are organized by time/person/session/invoice, split by the corresponding group.</w:t>
      </w:r>
    </w:p>
    <w:p>
      <w:r>
        <w:br w:type="page"/>
      </w:r>
    </w:p>
    <w:p>
      <w:pPr>
        <w:pStyle w:val="Heading1"/>
      </w:pPr>
      <w:r>
        <w:t>3. Required technical process and experiments</w:t>
      </w:r>
    </w:p>
    <w:p>
      <w:pPr>
        <w:pStyle w:val="Heading2"/>
      </w:pPr>
      <w:r>
        <w:t>Minimum pipeline</w:t>
      </w:r>
    </w:p>
    <w:p>
      <w:pPr>
        <w:pStyle w:val="ListNumber"/>
        <w:spacing w:after="50"/>
      </w:pPr>
      <w:r>
        <w:t>Freeze the problem definition, prediction time point, and evaluation criteria before viewing the test set.</w:t>
      </w:r>
    </w:p>
    <w:p>
      <w:pPr>
        <w:pStyle w:val="ListNumber"/>
        <w:spacing w:after="50"/>
      </w:pPr>
      <w:r>
        <w:t>Load data using a script; check the schema, row count, keys, and data quality.</w:t>
      </w:r>
    </w:p>
    <w:p>
      <w:pPr>
        <w:pStyle w:val="ListNumber"/>
        <w:spacing w:after="50"/>
      </w:pPr>
      <w:r>
        <w:t>Explore data on the training set; create plots that support preprocessing decisions, not merely decoration.</w:t>
      </w:r>
    </w:p>
    <w:p>
      <w:pPr>
        <w:pStyle w:val="ListNumber"/>
        <w:spacing w:after="50"/>
      </w:pPr>
      <w:r>
        <w:t>Build baselines: always non-default and logistic regression without class_weight.</w:t>
      </w:r>
    </w:p>
    <w:p>
      <w:pPr>
        <w:pStyle w:val="ListNumber"/>
        <w:spacing w:after="50"/>
      </w:pPr>
      <w:r>
        <w:t>Build the main model: logistic regression with/without class_weight; set the threshold using an assumed cost matrix.</w:t>
      </w:r>
    </w:p>
    <w:p>
      <w:pPr>
        <w:pStyle w:val="ListNumber"/>
        <w:spacing w:after="50"/>
      </w:pPr>
      <w:r>
        <w:t>Select parameters using suitable validation/CV; save the entire pipeline and configuration.</w:t>
      </w:r>
    </w:p>
    <w:p>
      <w:pPr>
        <w:pStyle w:val="ListNumber"/>
        <w:spacing w:after="50"/>
      </w:pPr>
      <w:r>
        <w:t>Evaluate once on the test set; report variation across seeds/folds when appropriate.</w:t>
      </w:r>
    </w:p>
    <w:p>
      <w:pPr>
        <w:pStyle w:val="ListNumber"/>
        <w:spacing w:after="50"/>
      </w:pPr>
      <w:r>
        <w:t>Analyze errors, limitations, and out-of-domain cases, then deploy the model to the API/web app.</w:t>
      </w:r>
    </w:p>
    <w:p>
      <w:pPr>
        <w:pStyle w:val="Heading2"/>
      </w:pPr>
      <w:r>
        <w:t>Four required experiments</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648"/>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t>#</w:t>
            </w:r>
          </w:p>
        </w:tc>
        <w:tc>
          <w:tcPr>
            <w:tcW w:type="dxa" w:w="9144"/>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t>Experiment / required evidence</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1</w:t>
            </w:r>
          </w:p>
        </w:tc>
        <w:tc>
          <w:tcPr>
            <w:tcW w:type="dxa" w:w="91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Compare accuracy with PR-AUC/recall.</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2</w:t>
            </w:r>
          </w:p>
        </w:tc>
        <w:tc>
          <w:tcPr>
            <w:tcW w:type="dxa" w:w="91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Evaluate calibration.</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8"/>
              </w:rPr>
              <w:t>3</w:t>
            </w:r>
          </w:p>
        </w:tc>
        <w:tc>
          <w:tcPr>
            <w:tcW w:type="dxa" w:w="91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Compare 3 thresholds and costs.</w:t>
            </w:r>
          </w:p>
        </w:tc>
      </w:tr>
      <w:tr>
        <w:trPr>
          <w:cantSplit/>
        </w:trPr>
        <w:tc>
          <w:tcPr>
            <w:tcW w:type="dxa" w:w="6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8"/>
              </w:rPr>
              <w:t>4</w:t>
            </w:r>
          </w:p>
        </w:tc>
        <w:tc>
          <w:tcPr>
            <w:tcW w:type="dxa" w:w="91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Audit errors by sex/education/marriage; state data limitations.</w:t>
            </w:r>
          </w:p>
        </w:tc>
      </w:tr>
    </w:tbl>
    <w:p>
      <w:pPr>
        <w:pStyle w:val="Heading2"/>
      </w:pPr>
      <w:r>
        <w:t>Comparison standard</w:t>
      </w:r>
    </w:p>
    <w:p>
      <w:pPr>
        <w:pStyle w:val="ListBullet"/>
        <w:spacing w:after="50"/>
      </w:pPr>
      <w:r>
        <w:t>Use the same split and evaluation unit for all models.</w:t>
      </w:r>
    </w:p>
    <w:p>
      <w:pPr>
        <w:pStyle w:val="ListBullet"/>
        <w:spacing w:after="50"/>
      </w:pPr>
      <w:r>
        <w:t>Report both the primary metric and at least one appropriate plot/error matrix.</w:t>
      </w:r>
    </w:p>
    <w:p>
      <w:pPr>
        <w:pStyle w:val="ListBullet"/>
        <w:spacing w:after="50"/>
      </w:pPr>
      <w:r>
        <w:t>Clearly separate validation results (used for selection) from test results (used for conclusions).</w:t>
      </w:r>
    </w:p>
    <w:p>
      <w:pPr>
        <w:pStyle w:val="ListBullet"/>
        <w:spacing w:after="50"/>
      </w:pPr>
      <w:r>
        <w:t>Do not claim causal relationships from coefficients, feature importance, clusters, or correlations.</w:t>
      </w:r>
    </w:p>
    <w:p>
      <w:pPr>
        <w:pStyle w:val="Heading2"/>
      </w:pPr>
      <w:r>
        <w:t>Suggested source-code structure</w:t>
      </w:r>
    </w:p>
    <w:p>
      <w:pPr>
        <w:pStyle w:val="Smallnote"/>
      </w:pPr>
      <w:r>
        <w:t>data/README.md • src/data.py • src/features.py • src/train.py • src/evaluate.py • app/ • models/ • reports/figures/ • requirements.txt • README.md</w:t>
      </w:r>
    </w:p>
    <w:p>
      <w:r>
        <w:br w:type="page"/>
      </w:r>
    </w:p>
    <w:p>
      <w:pPr>
        <w:pStyle w:val="Heading1"/>
      </w:pPr>
      <w:r>
        <w:t>4. Web product and handover package</w:t>
      </w:r>
    </w:p>
    <w:p>
      <w:pPr>
        <w:pStyle w:val="Heading2"/>
      </w:pPr>
      <w:r>
        <w:t>Web application requirements</w:t>
      </w:r>
    </w:p>
    <w:p>
      <w:r>
        <w:t>Simulation form and threshold dashboard; POST /api/risk-score API; model card page; do not store inputs.</w:t>
      </w:r>
    </w:p>
    <w:p>
      <w:pPr>
        <w:pStyle w:val="ListBullet"/>
        <w:spacing w:after="50"/>
      </w:pPr>
      <w:r>
        <w:t>Include at least 03 screens: introduction/scope; main workflow; evaluation dashboard &amp; model card.</w:t>
      </w:r>
    </w:p>
    <w:p>
      <w:pPr>
        <w:pStyle w:val="ListBullet"/>
        <w:spacing w:after="50"/>
      </w:pPr>
      <w:r>
        <w:t>The API returns JSON and includes a schema/validation, sensible error codes, request/response examples, and minimum tests.</w:t>
      </w:r>
    </w:p>
    <w:p>
      <w:pPr>
        <w:pStyle w:val="ListBullet"/>
        <w:spacing w:after="50"/>
      </w:pPr>
      <w:r>
        <w:t>The interface shows units, valid ranges, and messages for missing/out-of-range inputs; do not silently substitute values.</w:t>
      </w:r>
    </w:p>
    <w:p>
      <w:pPr>
        <w:pStyle w:val="ListBullet"/>
        <w:spacing w:after="50"/>
      </w:pPr>
      <w:r>
        <w:t>Separate offline training from serving. The application loads only the saved model/pipeline and does not retrain on each request.</w:t>
      </w:r>
    </w:p>
    <w:p>
      <w:pPr>
        <w:pStyle w:val="ListBullet"/>
        <w:spacing w:after="50"/>
      </w:pPr>
      <w:r>
        <w:t>Recommended stack: Python + pandas + scikit-learn; Flask/FastAPI; HTML/CSS/JS or React/Vue. Use SQLite only when truly needed.</w:t>
      </w:r>
    </w:p>
    <w:p>
      <w:pPr>
        <w:pStyle w:val="Heading2"/>
      </w:pPr>
      <w:r>
        <w:t>Required files/deliverables</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1944"/>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t>Item</w:t>
            </w:r>
          </w:p>
        </w:tc>
        <w:tc>
          <w:tcPr>
            <w:tcW w:type="dxa" w:w="7848"/>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t>Minimum requirement</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Source repository</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Clean code; README runnable on a new machine; requirements/lock file; commits by both members.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Data</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README, data dictionary, download/cleaning scripts, no license violations.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Model</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Saved pipeline, config/seed, separate train and evaluate scripts.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Web application</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Runs locally; API; validation; dashboard/model card; safe demo data.</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Report</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15–25 pages excluding appendices; PDF and DOCX/LaTeX source files; readable charts.</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Presentation</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10–12 slides; a 5–7 minute live demo; 12–15 minutes total plus oral examination.</w:t>
            </w:r>
          </w:p>
        </w:tc>
      </w:tr>
      <w:tr>
        <w:trPr>
          <w:cantSplit/>
        </w:trPr>
        <w:tc>
          <w:tcPr>
            <w:tcW w:type="dxa" w:w="194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Handover</w:t>
            </w:r>
          </w:p>
        </w:tc>
        <w:tc>
          <w:tcPr>
            <w:tcW w:type="dxa" w:w="784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Repository link, instructions, model/data card, six-week log, work-allocation table, and self-assessment.</w:t>
            </w:r>
          </w:p>
        </w:tc>
      </w:tr>
    </w:tbl>
    <w:p>
      <w:pPr>
        <w:pStyle w:val="Heading2"/>
      </w:pPr>
      <w:r>
        <w:t>Extensions (graded only when the required work is complete)</w:t>
      </w:r>
    </w:p>
    <w:p>
      <w:r>
        <w:t>Probability calibration or sensitivity analysis when sensitive variables are removed.</w:t>
      </w:r>
    </w:p>
    <w:p>
      <w:pPr>
        <w:pStyle w:val="Heading2"/>
      </w:pPr>
      <w:r>
        <w:t>Scope principles</w:t>
      </w:r>
    </w:p>
    <w:p>
      <w:r>
        <w:t>Cloud deployment, a mobile app, deep learning beyond the course, and collecting additional data are not required. A small system that is reproducible, honest, and deeply analyzed is valued more highly than a feature-rich product lacking evidence.</w:t>
      </w:r>
    </w:p>
    <w:p>
      <w:r>
        <w:br w:type="page"/>
      </w:r>
    </w:p>
    <w:p>
      <w:pPr>
        <w:pStyle w:val="Heading1"/>
      </w:pPr>
      <w:r>
        <w:t>5. Six-week implementation plan</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792"/>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t>Week</w:t>
            </w:r>
          </w:p>
        </w:tc>
        <w:tc>
          <w:tcPr>
            <w:tcW w:type="dxa" w:w="4320"/>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t>Main work</w:t>
            </w:r>
          </w:p>
        </w:tc>
        <w:tc>
          <w:tcPr>
            <w:tcW w:type="dxa" w:w="4680"/>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t>Deliverable evidence</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1</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Finalize the question, prediction time point, source/license; create the repository and backlog.</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1–2 page project brief; data README; schema; baseline plan.</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2</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Download/clean data; EDA on the training set; finalize split and baseline.</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Data scripts; EDA notebook; working baseline; instructor checkpoint.</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3</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Main-model pipeline; validation/CV; experiment tracking.</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Round-1 experiment table; model candidate; preprocessing tests.</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4</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Complete experiments, select model/threshold; final test; error analysis.</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Frozen results table; figures; model-card draft.</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7"/>
              </w:rPr>
              <w:t>5</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Package the API and interface; integrate the model; test inputs and errors.</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End-to-end web demo; API documentation; tests; demo checkpoint.</w:t>
            </w:r>
          </w:p>
        </w:tc>
      </w:tr>
      <w:tr>
        <w:trPr>
          <w:cantSplit/>
        </w:trPr>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7"/>
              </w:rPr>
              <w:t>6</w:t>
            </w:r>
          </w:p>
        </w:tc>
        <w:tc>
          <w:tcPr>
            <w:tcW w:type="dxa" w:w="432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Complete the report/slides; rehearse; reproduce in a clean environment.</w:t>
            </w:r>
          </w:p>
        </w:tc>
        <w:tc>
          <w:tcPr>
            <w:tcW w:type="dxa" w:w="4680"/>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Final release; report; slides; work-allocation record.</w:t>
            </w:r>
          </w:p>
        </w:tc>
      </w:tr>
    </w:tbl>
    <w:p>
      <w:pPr>
        <w:pStyle w:val="Heading2"/>
      </w:pPr>
      <w:r>
        <w:t>Two-member work allocation</w:t>
      </w:r>
    </w:p>
    <w:p>
      <w:pPr>
        <w:pStyle w:val="ListBullet"/>
        <w:spacing w:after="50"/>
      </w:pPr>
      <w:r>
        <w:t>Each person must make a substantial contribution to both the data/model work and the web/report work; do not rigidly assign one person only to write the report.</w:t>
      </w:r>
    </w:p>
    <w:p>
      <w:pPr>
        <w:pStyle w:val="ListBullet"/>
        <w:spacing w:after="50"/>
      </w:pPr>
      <w:r>
        <w:t>Pull requests/commit messages must describe the work. The weekly log records the contributor, estimated hours, results, and issues.</w:t>
      </w:r>
    </w:p>
    <w:p>
      <w:pPr>
        <w:pStyle w:val="ListBullet"/>
        <w:spacing w:after="50"/>
      </w:pPr>
      <w:r>
        <w:t>Both members understand the full pipeline and can answer questions about leakage, metrics, the model, and the API.</w:t>
      </w:r>
    </w:p>
    <w:p>
      <w:pPr>
        <w:pStyle w:val="Heading2"/>
      </w:pPr>
      <w:r>
        <w:t>Pre-submission checks</w:t>
      </w:r>
    </w:p>
    <w:tbl>
      <w:tblPr>
        <w:tblW w:type="auto" w:w="0"/>
        <w:jc w:val="center"/>
        <w:tblLayout w:type="fixed"/>
        <w:tblLook w:firstColumn="1" w:firstRow="1" w:lastColumn="0" w:lastRow="0" w:noHBand="0" w:noVBand="1" w:val="04A0"/>
      </w:tblPr>
      <w:tblGrid>
        <w:gridCol w:w="5112"/>
        <w:gridCol w:w="5112"/>
      </w:tblGrid>
      <w:tr>
        <w:trPr>
          <w:tblHeader w:val="true"/>
          <w:cantSplit/>
        </w:trPr>
        <w:tc>
          <w:tcPr>
            <w:tcW w:type="dxa" w:w="1584"/>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t>Gate</w:t>
            </w:r>
          </w:p>
        </w:tc>
        <w:tc>
          <w:tcPr>
            <w:tcW w:type="dxa" w:w="8208"/>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t>Pass when</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Data</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Source accessible; license/citation clear; reproduction script; no real sensitive data.</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Evaluation</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Valid split; baseline; separate validation/test; metrics table and error analysis.</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Technical</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One command or short instructions run train/evaluate/app; no personal absolute paths.</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Web</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Main workflow and API run; bad input does not crash it; model card/limitations are clearly visible.</w:t>
            </w:r>
          </w:p>
        </w:tc>
      </w:tr>
      <w:tr>
        <w:trPr>
          <w:cantSplit/>
        </w:trPr>
        <w:tc>
          <w:tcPr>
            <w:tcW w:type="dxa" w:w="158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Academic</w:t>
            </w:r>
          </w:p>
        </w:tc>
        <w:tc>
          <w:tcPr>
            <w:tcW w:type="dxa" w:w="8208"/>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Every table/figure has a source; no plagiarism; clearly disclose any AI tools and how their output was verified.</w:t>
            </w:r>
          </w:p>
        </w:tc>
      </w:tr>
    </w:tbl>
    <w:p>
      <w:r>
        <w:br w:type="page"/>
      </w:r>
    </w:p>
    <w:p>
      <w:pPr>
        <w:pStyle w:val="Heading1"/>
      </w:pPr>
      <w:r>
        <w:t>6. Assessment rubric and report requirements</w:t>
      </w:r>
    </w:p>
    <w:tbl>
      <w:tblPr>
        <w:tblW w:type="auto" w:w="0"/>
        <w:jc w:val="center"/>
        <w:tblLayout w:type="fixed"/>
        <w:tblLook w:firstColumn="1" w:firstRow="1" w:lastColumn="0" w:lastRow="0" w:noHBand="0" w:noVBand="1" w:val="04A0"/>
      </w:tblPr>
      <w:tblGrid>
        <w:gridCol w:w="3408"/>
        <w:gridCol w:w="3408"/>
        <w:gridCol w:w="3408"/>
      </w:tblGrid>
      <w:tr>
        <w:trPr>
          <w:tblHeader w:val="true"/>
          <w:cantSplit/>
        </w:trPr>
        <w:tc>
          <w:tcPr>
            <w:tcW w:type="dxa" w:w="2376"/>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t>Criterion</w:t>
            </w:r>
          </w:p>
        </w:tc>
        <w:tc>
          <w:tcPr>
            <w:tcW w:type="dxa" w:w="792"/>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t>Points</w:t>
            </w:r>
          </w:p>
        </w:tc>
        <w:tc>
          <w:tcPr>
            <w:tcW w:type="dxa" w:w="6624"/>
            <w:shd w:fill="1F4E79"/>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jc w:val="left"/>
            </w:pPr>
            <w:r>
              <w:t>Description of meeting requirements</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1. Problem &amp; scope</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8</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Measurable question; clear unit of observation, time point, outputs, and success criteria.</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2. Data &amp; EDA</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12</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Source/license; data dictionary; quality; EDA leading to decisions.</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3. Split, leakage &amp; reproducibility</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15</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Correct splitting; correct pipeline; seed/version; independent test set; no shortcuts.</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4. Model &amp; experiments</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18</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Baseline; model aligned with course knowledge; fair comparison design; sensible ablation/tuning.</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5. Evaluation &amp; error analysis</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18</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Correct metrics; plots/matrices; errors by group/time; non-exaggerated conclusions.</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6. Web/API</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12</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End-to-end flow; validation; API; clear UX; model card and warnings.</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7. Source code &amp; handover</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rPr>
                <w:sz w:val="16"/>
              </w:rPr>
              <w:t>7</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vAlign w:val="center"/>
          </w:tcPr>
          <w:p>
            <w:pPr>
              <w:spacing w:after="0"/>
            </w:pPr>
            <w:r>
              <w:t>Structure, README, environment, basic tests, reproducible model/data artifacts.</w:t>
            </w:r>
          </w:p>
        </w:tc>
      </w:tr>
      <w:tr>
        <w:trPr>
          <w:cantSplit/>
        </w:trPr>
        <w:tc>
          <w:tcPr>
            <w:tcW w:type="dxa" w:w="2376"/>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8. Report, presentation &amp; team</w:t>
            </w:r>
          </w:p>
        </w:tc>
        <w:tc>
          <w:tcPr>
            <w:tcW w:type="dxa" w:w="792"/>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rPr>
                <w:sz w:val="16"/>
              </w:rPr>
              <w:t>10</w:t>
            </w:r>
          </w:p>
        </w:tc>
        <w:tc>
          <w:tcPr>
            <w:tcW w:type="dxa" w:w="6624"/>
            <w:tcBorders>
              <w:top w:val="single" w:sz="6" w:color="D9D9D9"/>
              <w:left w:val="single" w:sz="6" w:color="D9D9D9"/>
              <w:bottom w:val="single" w:sz="6" w:color="D9D9D9"/>
              <w:right w:val="single" w:sz="6" w:color="D9D9D9"/>
              <w:insideH w:val="single" w:sz="6" w:color="D9D9D9"/>
              <w:insideV w:val="single" w:sz="6" w:color="D9D9D9"/>
            </w:tcBorders>
            <w:tcMar>
              <w:top w:w="80" w:type="dxa"/>
              <w:start w:w="100" w:type="dxa"/>
              <w:bottom w:w="80" w:type="dxa"/>
              <w:end w:w="100" w:type="dxa"/>
            </w:tcMar>
            <w:shd w:fill="F2F2F2"/>
            <w:vAlign w:val="center"/>
          </w:tcPr>
          <w:p>
            <w:pPr>
              <w:spacing w:after="0"/>
            </w:pPr>
            <w:r>
              <w:t>Logic, citations, slides/demo, individual responses, work allocation, and Git history.</w:t>
            </w:r>
          </w:p>
        </w:tc>
      </w:tr>
    </w:tbl>
    <w:p>
      <w:pPr>
        <w:pStyle w:val="Smallnote"/>
      </w:pPr>
      <w:r>
        <w:t>Total: 100 points. Extension work may add points only within relevant criteria; it does not compensate for an incorrect split, leakage, or a non-running product.</w:t>
      </w:r>
    </w:p>
    <w:p>
      <w:pPr>
        <w:pStyle w:val="Heading2"/>
      </w:pPr>
      <w:r>
        <w:t>Score caps</w:t>
      </w:r>
    </w:p>
    <w:p>
      <w:pPr>
        <w:pStyle w:val="ListBullet"/>
        <w:spacing w:after="50"/>
      </w:pPr>
      <w:r>
        <w:t>If results are not reproducible, there is no independent test set, or serious leakage remains unfixed: maximum 50/100.</w:t>
      </w:r>
    </w:p>
    <w:p>
      <w:pPr>
        <w:pStyle w:val="ListBullet"/>
        <w:spacing w:after="50"/>
      </w:pPr>
      <w:r>
        <w:t>If there is no working web application/API: lose all points for section 6; the report does not replace the product.</w:t>
      </w:r>
    </w:p>
    <w:p>
      <w:pPr>
        <w:pStyle w:val="ListBullet"/>
        <w:spacing w:after="50"/>
      </w:pPr>
      <w:r>
        <w:t>Failure to cite the data source, violation of terms, or plagiarism will be handled under academic regulations.</w:t>
      </w:r>
    </w:p>
    <w:p>
      <w:pPr>
        <w:pStyle w:val="ListBullet"/>
        <w:spacing w:after="50"/>
      </w:pPr>
      <w:r>
        <w:t>If a member cannot demonstrate contribution/understanding, the individual grade may differ from the group grade.</w:t>
      </w:r>
    </w:p>
    <w:p>
      <w:pPr>
        <w:pStyle w:val="Heading2"/>
      </w:pPr>
      <w:r>
        <w:t>Required report outline</w:t>
      </w:r>
    </w:p>
    <w:p>
      <w:r>
        <w:t>Abstract • Context &amp; question • Data/license • Time point &amp; leakage • Methods • Experiment design • Results • Error analysis • Web/API • Ethics &amp; limitations • Conclusion • References • Reproducibility appendix.</w:t>
      </w:r>
    </w:p>
    <w:p>
      <w:pPr>
        <w:pStyle w:val="Heading2"/>
      </w:pPr>
      <w:r>
        <w:t>Suggested oral-examination questions</w:t>
      </w:r>
    </w:p>
    <w:p>
      <w:pPr>
        <w:pStyle w:val="ListBullet"/>
        <w:spacing w:after="50"/>
      </w:pPr>
      <w:r>
        <w:t>Why does oversampling before splitting cause errors?</w:t>
      </w:r>
    </w:p>
    <w:p>
      <w:pPr>
        <w:pStyle w:val="ListBullet"/>
        <w:spacing w:after="50"/>
      </w:pPr>
      <w:r>
        <w:t>How does calibration differ from discrimination?</w:t>
      </w:r>
    </w:p>
    <w:p>
      <w:pPr>
        <w:pStyle w:val="ListBullet"/>
        <w:spacing w:after="50"/>
      </w:pPr>
      <w:r>
        <w:t>How can a model with good AUC still be unfair?</w:t>
      </w:r>
    </w:p>
    <w:p>
      <w:pPr>
        <w:pStyle w:val="Heading2"/>
      </w:pPr>
      <w:r>
        <w:t>Responsible use</w:t>
      </w:r>
    </w:p>
    <w:p>
      <w:r>
        <w:t>For learning and customer-support purposes only; do not use for credit decisions, penalties, or individual pricing.</w:t>
      </w:r>
    </w:p>
    <w:p>
      <w:pPr>
        <w:pStyle w:val="Heading2"/>
      </w:pPr>
      <w:r>
        <w:t>Minimum references</w:t>
      </w:r>
    </w:p>
    <w:p>
      <w:pPr>
        <w:pStyle w:val="Smallnote"/>
      </w:pPr>
      <w:r>
        <w:t>[1] Course slides: Lesson 3 — Confusion matrices, metrics, and generalization.</w:t>
        <w:br/>
        <w:t>[2] Data source: https://archive.ics.uci.edu/dataset/350/default%2Bof%2Bcredit%2Bcard%2Bclients</w:t>
        <w:br/>
        <w:t>[3] DOI/documentation: https://doi.org/10.24432/C55S3H</w:t>
        <w:br/>
        <w:t>[4] scikit-learn methodology documentation: https://scikit-learn.org/stable/modules/model_evaluation.html</w:t>
      </w:r>
    </w:p>
    <w:sectPr w:rsidR="00FC693F" w:rsidRPr="0006063C" w:rsidSect="00034616">
      <w:headerReference w:type="default" r:id="rId9"/>
      <w:footerReference w:type="default" r:id="rId10"/>
      <w:pgSz w:w="12240" w:h="15840"/>
      <w:pgMar w:top="893" w:right="1008" w:bottom="893" w:left="100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7"/>
      </w:rPr>
      <w:t xml:space="preserve">Trang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PROJECT 08  |  LESSON 3 — CONFUSION MATRICES, METRICS, AND GENERALIZATION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7" w:lineRule="auto"/>
    </w:pPr>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60" w:after="120"/>
      <w:outlineLvl w:val="0"/>
    </w:pPr>
    <w:rPr>
      <w:rFonts w:asciiTheme="majorHAnsi" w:eastAsiaTheme="majorEastAsia" w:hAnsiTheme="majorHAnsi" w:cstheme="majorBidi" w:ascii="Arial" w:hAnsi="Arial" w:eastAsia="Arial"/>
      <w:b/>
      <w:bCs/>
      <w:color w:val="000000"/>
      <w:sz w:val="31"/>
      <w:szCs w:val="28"/>
    </w:rPr>
  </w:style>
  <w:style w:type="paragraph" w:styleId="Heading2">
    <w:name w:val="heading 2"/>
    <w:basedOn w:val="Normal"/>
    <w:next w:val="Normal"/>
    <w:link w:val="Heading2Char"/>
    <w:uiPriority w:val="9"/>
    <w:unhideWhenUsed/>
    <w:qFormat/>
    <w:rsid w:val="00FC693F"/>
    <w:pPr>
      <w:keepNext/>
      <w:keepLines/>
      <w:spacing w:before="80" w:after="60"/>
      <w:outlineLvl w:val="1"/>
    </w:pPr>
    <w:rPr>
      <w:rFonts w:asciiTheme="majorHAnsi" w:eastAsiaTheme="majorEastAsia" w:hAnsiTheme="majorHAnsi" w:cstheme="majorBidi" w:ascii="Arial" w:hAnsi="Arial" w:eastAsia="Arial"/>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60" w:after="40"/>
      <w:outlineLvl w:val="2"/>
    </w:pPr>
    <w:rPr>
      <w:rFonts w:asciiTheme="majorHAnsi" w:eastAsiaTheme="majorEastAsia" w:hAnsiTheme="majorHAnsi" w:cstheme="majorBidi" w:ascii="Arial" w:hAnsi="Arial" w:eastAsia="Arial"/>
      <w:b/>
      <w:bCs/>
      <w:color w:val="000000"/>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before="0"/>
      <w:contextualSpacing/>
    </w:pPr>
    <w:rPr>
      <w:rFonts w:asciiTheme="majorHAnsi" w:eastAsiaTheme="majorEastAsia" w:hAnsiTheme="majorHAnsi" w:cstheme="majorBidi" w:ascii="Arial" w:hAnsi="Arial" w:eastAsia="Arial"/>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pPr>
    <w:rPr>
      <w:rFonts w:asciiTheme="majorHAnsi" w:eastAsiaTheme="majorEastAsia" w:hAnsiTheme="majorHAnsi" w:cstheme="majorBidi" w:ascii="Arial" w:hAnsi="Arial" w:eastAsia="Arial"/>
      <w:b w:val="0"/>
      <w:i/>
      <w:iCs/>
      <w:color w:val="000000"/>
      <w:spacing w:val="15"/>
      <w:sz w:val="3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20"/>
    </w:rPr>
  </w:style>
  <w:style w:type="paragraph" w:styleId="ListBullet2">
    <w:name w:val="List Bullet 2"/>
    <w:basedOn w:val="Normal"/>
    <w:uiPriority w:val="99"/>
    <w:unhideWhenUsed/>
    <w:rsid w:val="00326F90"/>
    <w:pPr>
      <w:numPr>
        <w:numId w:val="2"/>
      </w:numPr>
      <w:contextualSpacing/>
    </w:pPr>
    <w:rPr>
      <w:rFonts w:ascii="Arial" w:hAnsi="Arial" w:eastAsia="Arial"/>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rial" w:hAnsi="Arial" w:eastAsia="Arial"/>
      <w:sz w:val="20"/>
    </w:rPr>
  </w:style>
  <w:style w:type="paragraph" w:styleId="ListNumber2">
    <w:name w:val="List Number 2"/>
    <w:basedOn w:val="Normal"/>
    <w:uiPriority w:val="99"/>
    <w:unhideWhenUsed/>
    <w:rsid w:val="0029639D"/>
    <w:pPr>
      <w:numPr>
        <w:numId w:val="6"/>
      </w:numPr>
      <w:contextualSpacing/>
    </w:pPr>
    <w:rPr>
      <w:rFonts w:ascii="Arial" w:hAnsi="Arial" w:eastAsia="Arial"/>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40"/>
    </w:pPr>
    <w:rPr>
      <w:rFonts w:ascii="Arial" w:hAnsi="Arial" w:eastAsia="Arial"/>
      <w:color w:val="404040"/>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pmc.ncbi.nlm.nih.gov/articles/PMC6297060/" TargetMode="External"/><Relationship Id="rId12" Type="http://schemas.openxmlformats.org/officeDocument/2006/relationships/hyperlink" Target="https://doi.org/10.1016/j.dib.2018.11.126" TargetMode="External"/><Relationship Id="rId13" Type="http://schemas.openxmlformats.org/officeDocument/2006/relationships/hyperlink" Target="https://archive.ics.uci.edu/dataset/350/default%2Bof%2Bcredit%2Bcard%2Bclients" TargetMode="External"/><Relationship Id="rId14" Type="http://schemas.openxmlformats.org/officeDocument/2006/relationships/hyperlink" Target="https://doi.org/10.24432/C55S3H" TargetMode="External"/><Relationship Id="rId15" Type="http://schemas.openxmlformats.org/officeDocument/2006/relationships/hyperlink" Target="https://scikit-learn.org/stable/modules/model_evaluation.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08 - Sàng lọc nguy cơ trễ hạn thanh toán thẻ tín dụng</dc:title>
  <dc:subject>Bài 3 — Ma trận nhầm lẫn, các chỉ số và khả năng tổng quát hóa</dc:subject>
  <dc:creator>PGS.TS. NGUYỄN VĂN HẬU</dc:creator>
  <cp:keywords>Học máy cơ bản; 12523W.1; project; Bài 3 — Ma trận nhầm lẫn, các chỉ số và khả năng tổng quát hóa</cp:keywords>
  <dc:description>Đề project kết thúc học phần dành cho nhóm 02 sinh viên trong 06 tuần.</dc:description>
  <cp:lastModifiedBy/>
  <cp:revision>1</cp:revision>
  <dcterms:created xsi:type="dcterms:W3CDTF">2013-12-23T23:15:00Z</dcterms:created>
  <dcterms:modified xsi:type="dcterms:W3CDTF">2013-12-23T23:15:00Z</dcterms:modified>
  <cp:category/>
</cp:coreProperties>
</file>