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0" w:line="360" w:lineRule="auto"/>
        <w:jc w:val="center"/>
      </w:pPr>
      <w:r>
        <w:rPr>
          <w:rFonts w:ascii="Times New Roman" w:hAnsi="Times New Roman" w:eastAsia="宋体"/>
          <w:b/>
          <w:sz w:val="36"/>
        </w:rPr>
        <w:t>幻梦、纠偏与妥协：《聊斋志异》中“痴”与“异”的叙事互动</w:t>
      </w:r>
    </w:p>
    <w:p>
      <w:pPr>
        <w:spacing w:after="0" w:line="360" w:lineRule="auto"/>
        <w:jc w:val="center"/>
      </w:pPr>
      <w:r>
        <w:rPr>
          <w:rFonts w:ascii="Times New Roman" w:hAnsi="Times New Roman" w:eastAsia="宋体"/>
          <w:b/>
          <w:sz w:val="30"/>
        </w:rPr>
        <w:t>——以《书痴》《黄英》为中心</w:t>
      </w:r>
    </w:p>
    <w:p/>
    <w:p>
      <w:pPr>
        <w:spacing w:after="0" w:line="360" w:lineRule="auto"/>
        <w:jc w:val="center"/>
      </w:pPr>
      <w:r>
        <w:rPr>
          <w:rFonts w:ascii="Times New Roman" w:hAnsi="Times New Roman" w:eastAsia="宋体"/>
          <w:b/>
          <w:sz w:val="24"/>
        </w:rPr>
        <w:t>中国语言文学类专业</w:t>
      </w:r>
    </w:p>
    <w:p/>
    <w:p>
      <w:pPr>
        <w:spacing w:after="0" w:line="360" w:lineRule="auto"/>
        <w:jc w:val="center"/>
      </w:pPr>
      <w:r>
        <w:rPr>
          <w:rFonts w:ascii="Times New Roman" w:hAnsi="Times New Roman" w:eastAsia="宋体"/>
          <w:b/>
          <w:sz w:val="24"/>
        </w:rPr>
        <w:t>本科生：                  指导教师：</w:t>
      </w:r>
    </w:p>
    <w:p/>
    <w:p>
      <w:pPr>
        <w:spacing w:line="360" w:lineRule="auto"/>
        <w:ind w:firstLine="480"/>
      </w:pPr>
      <w:r>
        <w:rPr>
          <w:rFonts w:ascii="Times New Roman" w:hAnsi="Times New Roman" w:eastAsia="宋体"/>
          <w:b/>
          <w:sz w:val="24"/>
        </w:rPr>
        <w:t>摘要：</w:t>
      </w:r>
      <w:r>
        <w:rPr>
          <w:rFonts w:ascii="Times New Roman" w:hAnsi="Times New Roman" w:eastAsia="宋体"/>
          <w:sz w:val="24"/>
        </w:rPr>
        <w:t>《聊斋志异》常把狐鬼、花妖、神女等“异”的形象代入现实人生，构成亦真亦幻的叙事风格。传统解读多把其看作一种对“痴人”的补偿，现实世界中遭遇困顿的士人，能在这一幻想的世界中得以成全。然而细读《书痴》和《黄英》两篇可见，“异”不仅仅是满足痴人幻梦，还有纠偏、反讽与妥协的意味所在。从痴来看，郎玉柱的痴书和不问世事是科举所营造的幻觉，马子才的痴菊和羞于谈钱是把回避现实的生存逻辑的一种病态。从异观之，从《汉书》中走出的颜如玉反而逼郎玉柱放下书本，去科举应试；菊精陶生和黄英也没有附和只赏而不卖的清趣，而是靠着种菊、卖菊证明自食其力并不可耻。这样看来，异看似是一种补偿，其实更是一种纠正。在两篇的结局中，前者以焚书、科举和官场复仇为结，是一种苦涩的收束；后者以花妖不再卖菊、女儿出嫁、商归于儒为结，则是一种雅俗合流的诙谐和解。本文认为，蒲松龄要讲述的不是“痴人之纯真”，也不是简单的用幻境否定现实，而是用看似离奇的幻想故事来揭示了那段士人精神理想与现实秩序之间的距离与裂隙。</w:t>
      </w:r>
    </w:p>
    <w:p>
      <w:pPr>
        <w:spacing w:line="360" w:lineRule="auto"/>
        <w:ind w:firstLine="480"/>
      </w:pPr>
      <w:r>
        <w:rPr>
          <w:rFonts w:ascii="Times New Roman" w:hAnsi="Times New Roman" w:eastAsia="宋体"/>
          <w:b/>
          <w:sz w:val="24"/>
        </w:rPr>
        <w:t>关键词：</w:t>
      </w:r>
      <w:r>
        <w:rPr>
          <w:rFonts w:ascii="Times New Roman" w:hAnsi="Times New Roman" w:eastAsia="宋体"/>
          <w:sz w:val="24"/>
        </w:rPr>
        <w:t>聊斋志异；书痴；黄英；痴；异；文本细读</w:t>
      </w:r>
    </w:p>
    <w:p>
      <w:r>
        <w:br w:type="page"/>
      </w:r>
    </w:p>
    <w:p>
      <w:pPr>
        <w:spacing w:after="0" w:line="360" w:lineRule="auto"/>
        <w:jc w:val="center"/>
      </w:pPr>
      <w:r>
        <w:rPr>
          <w:rFonts w:ascii="Times New Roman" w:hAnsi="Times New Roman" w:eastAsia="宋体"/>
          <w:b/>
          <w:sz w:val="30"/>
        </w:rPr>
        <w:t>Dream, Correction and Compromise: The Narrative Interaction between “Obsession” and “Strangeness” in Liaozhai Zhiyi</w:t>
      </w:r>
    </w:p>
    <w:p>
      <w:pPr>
        <w:spacing w:after="0" w:line="360" w:lineRule="auto"/>
        <w:jc w:val="center"/>
      </w:pPr>
      <w:r>
        <w:rPr>
          <w:rFonts w:ascii="Times New Roman" w:hAnsi="Times New Roman" w:eastAsia="宋体"/>
          <w:b/>
          <w:sz w:val="24"/>
        </w:rPr>
        <w:t>——A Study of Shuchi and Huang Ying</w:t>
      </w:r>
    </w:p>
    <w:p/>
    <w:p>
      <w:pPr>
        <w:spacing w:line="360" w:lineRule="auto"/>
        <w:ind w:firstLine="480"/>
      </w:pPr>
      <w:r>
        <w:rPr>
          <w:rFonts w:ascii="Times New Roman" w:hAnsi="Times New Roman" w:eastAsia="宋体"/>
          <w:b/>
          <w:sz w:val="24"/>
        </w:rPr>
        <w:t>Abstract：</w:t>
      </w:r>
      <w:r>
        <w:rPr>
          <w:rFonts w:ascii="Times New Roman" w:hAnsi="Times New Roman" w:eastAsia="宋体"/>
          <w:sz w:val="24"/>
        </w:rPr>
        <w:t>This thesis discusses Shuchi and Huang Ying in Liaozhai Zhiyi, with special attention to the relation between “obsession” and “strangeness”. In many studies, the obsessed figures in Liaozhai Zhiyi are often understood as people with true feelings and pure temperament, while supernatural women, flower spirits and other strange figures are usually seen as compensation for what cannot be gained in real life. However, the two stories show a more complicated situation. In Shuchi, Lang Yuzhu’s love for books is not simply pure. His belief in “Yan Ruyu” and “golden millet” also shows his distance from real life and his dependence on the imagination produced by the imperial examination culture. In Huang Ying, Ma Zicai’s love for chrysanthemums contains a similar problem. He values elegance, but he is unwilling to face the fact that elegant life also needs material support.</w:t>
      </w:r>
    </w:p>
    <w:p>
      <w:pPr>
        <w:spacing w:line="360" w:lineRule="auto" w:before="0" w:after="0"/>
        <w:ind w:firstLine="480"/>
      </w:pPr>
      <w:r>
        <w:rPr>
          <w:rFonts w:ascii="Times New Roman" w:hAnsi="Times New Roman" w:eastAsia="宋体"/>
          <w:sz w:val="24"/>
        </w:rPr>
        <w:t>The strange figures in the two stories do not only fulfill the dreams of the protagonists. Yan Ruyu comes out of a book, but she asks Lang Yuzhu to stop reading all the time and to enter the world of communication, examination and human affairs. Tao Sheng and Huang Ying are chrysanthemum spirits, but they do not agree with Ma Zicai's idea that selling flowers must be vulgar. Instead, they prove that making a living by one's own labor is not shameful. In this sense, “strangeness” becomes a force of correction. It brings the obsessed characters back from their private dreams to the real world.</w:t>
      </w:r>
    </w:p>
    <w:p>
      <w:pPr>
        <w:spacing w:line="360" w:lineRule="auto" w:before="0" w:after="0"/>
        <w:ind w:firstLine="480"/>
      </w:pPr>
      <w:r>
        <w:rPr>
          <w:rFonts w:ascii="Times New Roman" w:hAnsi="Times New Roman" w:eastAsia="宋体"/>
          <w:sz w:val="24"/>
        </w:rPr>
        <w:t>The endings of the two stories are not exactly the same. Shuchi ends with the burning of books, success in the examination, revenge and withdrawal, so its return to reality is painful and uneasy. Huang Ying ends in a milder way: the business of chrysanthemums is finally stopped, and wealth is brought back into a scholar's family order. Through these two stories, this thesis argues that the fantasy in Liaozhai Zhiyi is not only a way to escape from reality. It also shows Pu Songling's clear awareness of the gap between literati ideals and the social order of his time.</w:t>
      </w:r>
    </w:p>
    <w:p>
      <w:pPr>
        <w:spacing w:line="360" w:lineRule="auto"/>
        <w:ind w:firstLine="480"/>
      </w:pPr>
      <w:r>
        <w:rPr>
          <w:rFonts w:ascii="Times New Roman" w:hAnsi="Times New Roman" w:eastAsia="宋体"/>
          <w:b/>
          <w:sz w:val="24"/>
        </w:rPr>
        <w:t>Key words：</w:t>
      </w:r>
      <w:r>
        <w:rPr>
          <w:rFonts w:ascii="Times New Roman" w:hAnsi="Times New Roman" w:eastAsia="宋体"/>
          <w:sz w:val="24"/>
        </w:rPr>
        <w:t>Liaozhai Zhiyi; Shuchi; Huang Ying; obsession; strangeness</w:t>
      </w:r>
    </w:p>
    <w:p>
      <w:r>
        <w:br w:type="page"/>
      </w:r>
    </w:p>
    <w:p>
      <w:pPr>
        <w:spacing w:after="160" w:line="360" w:lineRule="auto"/>
        <w:jc w:val="center"/>
      </w:pPr>
      <w:r>
        <w:rPr>
          <w:rFonts w:ascii="Times New Roman" w:hAnsi="Times New Roman" w:eastAsia="宋体"/>
          <w:b/>
          <w:sz w:val="36"/>
        </w:rPr>
        <w:t>目　录</w:t>
      </w:r>
    </w:p>
    <w:p>
      <w:pPr>
        <w:tabs>
          <w:tab w:pos="9071" w:val="right" w:leader="dot"/>
        </w:tabs>
        <w:spacing w:line="360" w:lineRule="auto"/>
        <w:ind w:left="0"/>
      </w:pPr>
      <w:r>
        <w:rPr>
          <w:rFonts w:ascii="Times New Roman" w:hAnsi="Times New Roman" w:eastAsia="宋体"/>
          <w:sz w:val="24"/>
        </w:rPr>
        <w:t>一、绪论</w:t>
      </w:r>
      <w:r>
        <w:tab/>
      </w:r>
      <w:r>
        <w:rPr>
          <w:rFonts w:ascii="Times New Roman" w:hAnsi="Times New Roman" w:eastAsia="宋体"/>
          <w:sz w:val="24"/>
        </w:rPr>
      </w:r>
    </w:p>
    <w:p>
      <w:pPr>
        <w:tabs>
          <w:tab w:pos="9071" w:val="right" w:leader="dot"/>
        </w:tabs>
        <w:spacing w:line="360" w:lineRule="auto"/>
        <w:ind w:left="420"/>
      </w:pPr>
      <w:r>
        <w:rPr>
          <w:rFonts w:ascii="Times New Roman" w:hAnsi="Times New Roman" w:eastAsia="宋体"/>
          <w:sz w:val="24"/>
        </w:rPr>
        <w:t>（一）研究缘起</w:t>
      </w:r>
      <w:r>
        <w:tab/>
      </w:r>
      <w:r>
        <w:rPr>
          <w:rFonts w:ascii="Times New Roman" w:hAnsi="Times New Roman" w:eastAsia="宋体"/>
          <w:sz w:val="24"/>
        </w:rPr>
      </w:r>
    </w:p>
    <w:p>
      <w:pPr>
        <w:tabs>
          <w:tab w:pos="9071" w:val="right" w:leader="dot"/>
        </w:tabs>
        <w:spacing w:line="360" w:lineRule="auto"/>
        <w:ind w:left="420"/>
      </w:pPr>
      <w:r>
        <w:rPr>
          <w:rFonts w:ascii="Times New Roman" w:hAnsi="Times New Roman" w:eastAsia="宋体"/>
          <w:sz w:val="24"/>
        </w:rPr>
        <w:t>（二）文献综述</w:t>
      </w:r>
      <w:r>
        <w:tab/>
      </w:r>
      <w:r>
        <w:rPr>
          <w:rFonts w:ascii="Times New Roman" w:hAnsi="Times New Roman" w:eastAsia="宋体"/>
          <w:sz w:val="24"/>
        </w:rPr>
      </w:r>
    </w:p>
    <w:p>
      <w:pPr>
        <w:tabs>
          <w:tab w:pos="9071" w:val="right" w:leader="dot"/>
        </w:tabs>
        <w:spacing w:line="360" w:lineRule="auto"/>
        <w:ind w:left="420"/>
      </w:pPr>
      <w:r>
        <w:rPr>
          <w:rFonts w:ascii="Times New Roman" w:hAnsi="Times New Roman" w:eastAsia="宋体"/>
          <w:sz w:val="24"/>
        </w:rPr>
        <w:t>（三）研究对象与问题</w:t>
      </w:r>
      <w:r>
        <w:tab/>
      </w:r>
      <w:r>
        <w:rPr>
          <w:rFonts w:ascii="Times New Roman" w:hAnsi="Times New Roman" w:eastAsia="宋体"/>
          <w:sz w:val="24"/>
        </w:rPr>
      </w:r>
    </w:p>
    <w:p>
      <w:pPr>
        <w:tabs>
          <w:tab w:pos="9071" w:val="right" w:leader="dot"/>
        </w:tabs>
        <w:spacing w:line="360" w:lineRule="auto"/>
        <w:ind w:left="420"/>
      </w:pPr>
      <w:r>
        <w:rPr>
          <w:rFonts w:ascii="Times New Roman" w:hAnsi="Times New Roman" w:eastAsia="宋体"/>
          <w:sz w:val="24"/>
        </w:rPr>
        <w:t>（四）研究方法</w:t>
      </w:r>
      <w:r>
        <w:tab/>
      </w:r>
      <w:r>
        <w:rPr>
          <w:rFonts w:ascii="Times New Roman" w:hAnsi="Times New Roman" w:eastAsia="宋体"/>
          <w:sz w:val="24"/>
        </w:rPr>
      </w:r>
    </w:p>
    <w:p>
      <w:pPr>
        <w:tabs>
          <w:tab w:pos="9071" w:val="right" w:leader="dot"/>
        </w:tabs>
        <w:spacing w:line="360" w:lineRule="auto"/>
        <w:ind w:left="0"/>
      </w:pPr>
      <w:r>
        <w:rPr>
          <w:rFonts w:ascii="Times New Roman" w:hAnsi="Times New Roman" w:eastAsia="宋体"/>
          <w:sz w:val="24"/>
        </w:rPr>
        <w:t>二、痴：对现实秩序的偏离</w:t>
      </w:r>
      <w:r>
        <w:tab/>
      </w:r>
      <w:r>
        <w:rPr>
          <w:rFonts w:ascii="Times New Roman" w:hAnsi="Times New Roman" w:eastAsia="宋体"/>
          <w:sz w:val="24"/>
        </w:rPr>
      </w:r>
    </w:p>
    <w:p>
      <w:pPr>
        <w:tabs>
          <w:tab w:pos="9071" w:val="right" w:leader="dot"/>
        </w:tabs>
        <w:spacing w:line="360" w:lineRule="auto"/>
        <w:ind w:left="420"/>
      </w:pPr>
      <w:r>
        <w:rPr>
          <w:rFonts w:ascii="Times New Roman" w:hAnsi="Times New Roman" w:eastAsia="宋体"/>
          <w:sz w:val="24"/>
        </w:rPr>
        <w:t>（一）郎玉柱：把书本作为现实</w:t>
      </w:r>
      <w:r>
        <w:tab/>
      </w:r>
      <w:r>
        <w:rPr>
          <w:rFonts w:ascii="Times New Roman" w:hAnsi="Times New Roman" w:eastAsia="宋体"/>
          <w:sz w:val="24"/>
        </w:rPr>
      </w:r>
    </w:p>
    <w:p>
      <w:pPr>
        <w:tabs>
          <w:tab w:pos="9071" w:val="right" w:leader="dot"/>
        </w:tabs>
        <w:spacing w:line="360" w:lineRule="auto"/>
        <w:ind w:left="420"/>
      </w:pPr>
      <w:r>
        <w:rPr>
          <w:rFonts w:ascii="Times New Roman" w:hAnsi="Times New Roman" w:eastAsia="宋体"/>
          <w:sz w:val="24"/>
        </w:rPr>
        <w:t>（二）马子才：清雅姿态与生计的疏离</w:t>
      </w:r>
      <w:r>
        <w:tab/>
      </w:r>
      <w:r>
        <w:rPr>
          <w:rFonts w:ascii="Times New Roman" w:hAnsi="Times New Roman" w:eastAsia="宋体"/>
          <w:sz w:val="24"/>
        </w:rPr>
      </w:r>
    </w:p>
    <w:p>
      <w:pPr>
        <w:tabs>
          <w:tab w:pos="9071" w:val="right" w:leader="dot"/>
        </w:tabs>
        <w:spacing w:line="360" w:lineRule="auto"/>
        <w:ind w:left="420"/>
      </w:pPr>
      <w:r>
        <w:rPr>
          <w:rFonts w:ascii="Times New Roman" w:hAnsi="Times New Roman" w:eastAsia="宋体"/>
          <w:sz w:val="24"/>
        </w:rPr>
        <w:t>（三）两种痴的对照</w:t>
      </w:r>
      <w:r>
        <w:tab/>
      </w:r>
      <w:r>
        <w:rPr>
          <w:rFonts w:ascii="Times New Roman" w:hAnsi="Times New Roman" w:eastAsia="宋体"/>
          <w:sz w:val="24"/>
        </w:rPr>
      </w:r>
    </w:p>
    <w:p>
      <w:pPr>
        <w:tabs>
          <w:tab w:pos="9071" w:val="right" w:leader="dot"/>
        </w:tabs>
        <w:spacing w:line="360" w:lineRule="auto"/>
        <w:ind w:left="0"/>
      </w:pPr>
      <w:r>
        <w:rPr>
          <w:rFonts w:ascii="Times New Roman" w:hAnsi="Times New Roman" w:eastAsia="宋体"/>
          <w:sz w:val="24"/>
        </w:rPr>
        <w:t>三、异：作为纠偏者的神女与花妖</w:t>
      </w:r>
      <w:r>
        <w:tab/>
      </w:r>
      <w:r>
        <w:rPr>
          <w:rFonts w:ascii="Times New Roman" w:hAnsi="Times New Roman" w:eastAsia="宋体"/>
          <w:sz w:val="24"/>
        </w:rPr>
      </w:r>
    </w:p>
    <w:p>
      <w:pPr>
        <w:tabs>
          <w:tab w:pos="9071" w:val="right" w:leader="dot"/>
        </w:tabs>
        <w:spacing w:line="360" w:lineRule="auto"/>
        <w:ind w:left="420"/>
      </w:pPr>
      <w:r>
        <w:rPr>
          <w:rFonts w:ascii="Times New Roman" w:hAnsi="Times New Roman" w:eastAsia="宋体"/>
          <w:sz w:val="24"/>
        </w:rPr>
        <w:t>（一）颜如玉</w:t>
      </w:r>
      <w:r>
        <w:tab/>
      </w:r>
      <w:r>
        <w:rPr>
          <w:rFonts w:ascii="Times New Roman" w:hAnsi="Times New Roman" w:eastAsia="宋体"/>
          <w:sz w:val="24"/>
        </w:rPr>
      </w:r>
    </w:p>
    <w:p>
      <w:pPr>
        <w:tabs>
          <w:tab w:pos="9071" w:val="right" w:leader="dot"/>
        </w:tabs>
        <w:spacing w:line="360" w:lineRule="auto"/>
        <w:ind w:left="420"/>
      </w:pPr>
      <w:r>
        <w:rPr>
          <w:rFonts w:ascii="Times New Roman" w:hAnsi="Times New Roman" w:eastAsia="宋体"/>
          <w:sz w:val="24"/>
        </w:rPr>
        <w:t>（二）陶生与黄英</w:t>
      </w:r>
      <w:r>
        <w:tab/>
      </w:r>
      <w:r>
        <w:rPr>
          <w:rFonts w:ascii="Times New Roman" w:hAnsi="Times New Roman" w:eastAsia="宋体"/>
          <w:sz w:val="24"/>
        </w:rPr>
      </w:r>
    </w:p>
    <w:p>
      <w:pPr>
        <w:tabs>
          <w:tab w:pos="9071" w:val="right" w:leader="dot"/>
        </w:tabs>
        <w:spacing w:line="360" w:lineRule="auto"/>
        <w:ind w:left="420"/>
      </w:pPr>
      <w:r>
        <w:rPr>
          <w:rFonts w:ascii="Times New Roman" w:hAnsi="Times New Roman" w:eastAsia="宋体"/>
          <w:sz w:val="24"/>
        </w:rPr>
        <w:t>（三）“异”的双重身份</w:t>
      </w:r>
      <w:r>
        <w:tab/>
      </w:r>
      <w:r>
        <w:rPr>
          <w:rFonts w:ascii="Times New Roman" w:hAnsi="Times New Roman" w:eastAsia="宋体"/>
          <w:sz w:val="24"/>
        </w:rPr>
      </w:r>
    </w:p>
    <w:p>
      <w:pPr>
        <w:tabs>
          <w:tab w:pos="9071" w:val="right" w:leader="dot"/>
        </w:tabs>
        <w:spacing w:line="360" w:lineRule="auto"/>
        <w:ind w:left="0"/>
      </w:pPr>
      <w:r>
        <w:rPr>
          <w:rFonts w:ascii="Times New Roman" w:hAnsi="Times New Roman" w:eastAsia="宋体"/>
          <w:sz w:val="24"/>
        </w:rPr>
        <w:t>四、结局：科举收编与雅俗合流</w:t>
      </w:r>
      <w:r>
        <w:tab/>
      </w:r>
      <w:r>
        <w:rPr>
          <w:rFonts w:ascii="Times New Roman" w:hAnsi="Times New Roman" w:eastAsia="宋体"/>
          <w:sz w:val="24"/>
        </w:rPr>
      </w:r>
    </w:p>
    <w:p>
      <w:pPr>
        <w:tabs>
          <w:tab w:pos="9071" w:val="right" w:leader="dot"/>
        </w:tabs>
        <w:spacing w:line="360" w:lineRule="auto"/>
        <w:ind w:left="420"/>
      </w:pPr>
      <w:r>
        <w:rPr>
          <w:rFonts w:ascii="Times New Roman" w:hAnsi="Times New Roman" w:eastAsia="宋体"/>
          <w:sz w:val="24"/>
        </w:rPr>
        <w:t>（一）《书痴》的结局：焚书、复仇与刺贪刺虐</w:t>
      </w:r>
      <w:r>
        <w:tab/>
      </w:r>
      <w:r>
        <w:rPr>
          <w:rFonts w:ascii="Times New Roman" w:hAnsi="Times New Roman" w:eastAsia="宋体"/>
          <w:sz w:val="24"/>
        </w:rPr>
      </w:r>
    </w:p>
    <w:p>
      <w:pPr>
        <w:tabs>
          <w:tab w:pos="9071" w:val="right" w:leader="dot"/>
        </w:tabs>
        <w:spacing w:line="360" w:lineRule="auto"/>
        <w:ind w:left="420"/>
      </w:pPr>
      <w:r>
        <w:rPr>
          <w:rFonts w:ascii="Times New Roman" w:hAnsi="Times New Roman" w:eastAsia="宋体"/>
          <w:sz w:val="24"/>
        </w:rPr>
        <w:t>（二）《黄英》的结局：由商返儒与雅俗合流</w:t>
      </w:r>
      <w:r>
        <w:tab/>
      </w:r>
      <w:r>
        <w:rPr>
          <w:rFonts w:ascii="Times New Roman" w:hAnsi="Times New Roman" w:eastAsia="宋体"/>
          <w:sz w:val="24"/>
        </w:rPr>
      </w:r>
    </w:p>
    <w:p>
      <w:pPr>
        <w:tabs>
          <w:tab w:pos="9071" w:val="right" w:leader="dot"/>
        </w:tabs>
        <w:spacing w:line="360" w:lineRule="auto"/>
        <w:ind w:left="420"/>
      </w:pPr>
      <w:r>
        <w:rPr>
          <w:rFonts w:ascii="Times New Roman" w:hAnsi="Times New Roman" w:eastAsia="宋体"/>
          <w:sz w:val="24"/>
        </w:rPr>
        <w:t>（三）对照：蒲松龄的怜惜与分寸</w:t>
      </w:r>
      <w:r>
        <w:tab/>
      </w:r>
      <w:r>
        <w:rPr>
          <w:rFonts w:ascii="Times New Roman" w:hAnsi="Times New Roman" w:eastAsia="宋体"/>
          <w:sz w:val="24"/>
        </w:rPr>
      </w:r>
    </w:p>
    <w:p>
      <w:pPr>
        <w:tabs>
          <w:tab w:pos="9071" w:val="right" w:leader="dot"/>
        </w:tabs>
        <w:spacing w:line="360" w:lineRule="auto"/>
        <w:ind w:left="0"/>
      </w:pPr>
      <w:r>
        <w:rPr>
          <w:rFonts w:ascii="Times New Roman" w:hAnsi="Times New Roman" w:eastAsia="宋体"/>
          <w:sz w:val="24"/>
        </w:rPr>
        <w:t>五、结语</w:t>
      </w:r>
      <w:r>
        <w:tab/>
      </w:r>
      <w:r>
        <w:rPr>
          <w:rFonts w:ascii="Times New Roman" w:hAnsi="Times New Roman" w:eastAsia="宋体"/>
          <w:sz w:val="24"/>
        </w:rPr>
      </w:r>
    </w:p>
    <w:p>
      <w:pPr>
        <w:tabs>
          <w:tab w:pos="9071" w:val="right" w:leader="dot"/>
        </w:tabs>
        <w:spacing w:line="360" w:lineRule="auto"/>
        <w:ind w:left="0"/>
      </w:pPr>
      <w:r>
        <w:rPr>
          <w:rFonts w:ascii="Times New Roman" w:hAnsi="Times New Roman" w:eastAsia="宋体"/>
          <w:sz w:val="24"/>
        </w:rPr>
        <w:t>参考文献</w:t>
      </w:r>
      <w:r>
        <w:tab/>
      </w:r>
      <w:r>
        <w:rPr>
          <w:rFonts w:ascii="Times New Roman" w:hAnsi="Times New Roman" w:eastAsia="宋体"/>
          <w:sz w:val="24"/>
        </w:rPr>
      </w:r>
    </w:p>
    <w:p>
      <w:pPr>
        <w:tabs>
          <w:tab w:pos="9071" w:val="right" w:leader="dot"/>
        </w:tabs>
        <w:spacing w:line="360" w:lineRule="auto"/>
        <w:ind w:left="0"/>
      </w:pPr>
      <w:r>
        <w:rPr>
          <w:rFonts w:ascii="Times New Roman" w:hAnsi="Times New Roman" w:eastAsia="宋体"/>
          <w:sz w:val="24"/>
        </w:rPr>
        <w:t>致 谢</w:t>
      </w:r>
      <w:r>
        <w:tab/>
      </w:r>
      <w:r>
        <w:rPr>
          <w:rFonts w:ascii="Times New Roman" w:hAnsi="Times New Roman" w:eastAsia="宋体"/>
          <w:sz w:val="24"/>
        </w:rPr>
      </w:r>
    </w:p>
    <w:p>
      <w:r>
        <w:br w:type="page"/>
      </w:r>
    </w:p>
    <w:p>
      <w:pPr>
        <w:sectPr>
          <w:footerReference w:type="default" r:id="rId9"/>
          <w:pgSz w:w="11906" w:h="16838"/>
          <w:pgMar w:top="1417" w:right="1417" w:bottom="1417" w:left="1417" w:header="720" w:footer="720" w:gutter="0"/>
          <w:cols w:space="720"/>
          <w:docGrid w:linePitch="360"/>
          <w:pgNumType w:start="1"/>
        </w:sectPr>
      </w:pPr>
    </w:p>
    <w:p>
      <w:pPr>
        <w:pStyle w:val="Heading1"/>
        <w:keepNext/>
      </w:pPr>
      <w:r>
        <w:rPr>
          <w:rFonts w:ascii="Times New Roman" w:hAnsi="Times New Roman" w:eastAsia="宋体"/>
          <w:b/>
          <w:sz w:val="30"/>
        </w:rPr>
        <w:t>一、绪论</w:t>
      </w:r>
    </w:p>
    <w:p>
      <w:pPr>
        <w:pStyle w:val="Heading2"/>
        <w:keepNext/>
      </w:pPr>
      <w:r>
        <w:rPr>
          <w:rFonts w:ascii="Times New Roman" w:hAnsi="Times New Roman" w:eastAsia="宋体"/>
          <w:b/>
          <w:sz w:val="28"/>
        </w:rPr>
        <w:t>（一）研究缘起</w:t>
      </w:r>
    </w:p>
    <w:p>
      <w:pPr>
        <w:spacing w:line="360" w:lineRule="auto" w:before="0" w:after="0"/>
        <w:ind w:firstLine="480"/>
      </w:pPr>
      <w:r>
        <w:rPr>
          <w:rFonts w:ascii="Times New Roman" w:hAnsi="Times New Roman" w:eastAsia="宋体"/>
          <w:sz w:val="24"/>
        </w:rPr>
        <w:t>谈及《聊斋志异》最迷人的地方，莫过于其总在“幻”与“真”中相游走：贫寒书生在现实生活中难寻觅知音，则有神女作伴，沉迷于书卷的少年也总能在书中看见黄金屋。鲁迅评《聊斋志异》道“用传奇法，而以志怪”，又说“出于幻域，顿入人间”[1]。由此观之《聊斋》幻想的神女、花妖不仅仅是一个逃避现实的入口，其更作为一个窗口，从缺憾处照见了生活中功名、贫困、权力的交织，商与儒的矛盾等确然问题。</w:t>
      </w:r>
    </w:p>
    <w:p>
      <w:pPr>
        <w:spacing w:line="360" w:lineRule="auto" w:before="0" w:after="0"/>
        <w:ind w:firstLine="480"/>
      </w:pPr>
      <w:r>
        <w:rPr>
          <w:rFonts w:ascii="Times New Roman" w:hAnsi="Times New Roman" w:eastAsia="宋体"/>
          <w:sz w:val="24"/>
        </w:rPr>
        <w:t>在传统的研究中，“痴”常被认为是真性情的体现和一种纯粹的人格。如学者刘云汉便说：蒲翁所欣赏之“痴”，应该是人的一种性格、一种品质，具体而言，是一种性情的纯真、一种志向的单一、一种追求的执着。将其抽象出来，则是人性的真、纯、诚、美的外化。“[2]。而如狐女、花妖之类的”异“又常常被视为是对在现实世界中找不到归宿的痴情之人的一种补偿。可读及《书痴》与《黄英》等篇，则会怀疑这种理解并不充分：《书痴》一章中，颜如玉并未因为郎玉柱痴迷于读书，便顺从让他继续在书中无法自拔；《黄英》一章中，菊精姐弟也并未赞同马子才只赏菊而不卖菊之清高。他们的出现，并不是让他们继续做那个在世俗之外的清梦，而是使他们看见现实。</w:t>
      </w:r>
    </w:p>
    <w:p>
      <w:pPr>
        <w:spacing w:line="360" w:lineRule="auto" w:before="0" w:after="0"/>
        <w:ind w:firstLine="480"/>
      </w:pPr>
      <w:r>
        <w:rPr>
          <w:rFonts w:ascii="Times New Roman" w:hAnsi="Times New Roman" w:eastAsia="宋体"/>
          <w:sz w:val="24"/>
        </w:rPr>
        <w:t>因此，本文试图从“痴”与“异”的互动入手，深入分析《书痴》与《黄英》。本文认为，“痴”非单纯高洁，而是文人对某种理想价值的过度沉迷。“异”也非补偿，而是具有纠偏与反讽的力量。</w:t>
      </w:r>
    </w:p>
    <w:p>
      <w:pPr>
        <w:pStyle w:val="Heading2"/>
        <w:keepNext/>
      </w:pPr>
      <w:r>
        <w:rPr>
          <w:rFonts w:ascii="Times New Roman" w:hAnsi="Times New Roman" w:eastAsia="宋体"/>
          <w:b/>
          <w:sz w:val="28"/>
        </w:rPr>
        <w:t>（二）文献综述</w:t>
      </w:r>
    </w:p>
    <w:p>
      <w:pPr>
        <w:spacing w:line="360" w:lineRule="auto" w:before="0" w:after="0"/>
        <w:ind w:firstLine="480"/>
      </w:pPr>
      <w:r>
        <w:rPr>
          <w:rFonts w:ascii="Times New Roman" w:hAnsi="Times New Roman" w:eastAsia="宋体"/>
          <w:sz w:val="24"/>
        </w:rPr>
        <w:t>关于《聊斋志异》“痴”的研究，大概分为两路。其一，将“痴”认为是作者想要抒发的一种真性情的人格。如陈葆在《〈聊斋志异〉痴狂士人类型析论》中对痴狂人物作了系统分类[3]；余习惠的《“痴”——〈聊斋志异〉形象塑造的美学追求》则进而将“痴”概括为“真、纯、诚、美”的外化，视其为蒲松龄美学理想的寄托[4]。</w:t>
      </w:r>
    </w:p>
    <w:p>
      <w:pPr>
        <w:spacing w:line="360" w:lineRule="auto" w:before="0" w:after="0"/>
        <w:ind w:firstLine="480"/>
      </w:pPr>
      <w:r>
        <w:rPr>
          <w:rFonts w:ascii="Times New Roman" w:hAnsi="Times New Roman" w:eastAsia="宋体"/>
          <w:sz w:val="24"/>
        </w:rPr>
        <w:t>其二，认为“痴 ”背后具有现实的批判意味。刘云汉《浊世红尘中的纯真世界》从痴人的背后看出对世道发讽刺，其指出，《书痴》对郎玉柱的刻画“实则也是为了刺贪刺虐”，于人无害的痴人却遭荼毒，这恰可以反衬世道不堪[2]。海外汉学者中，蔡九迪在《Historian of the Strange》的一章中讨论了“癖”一词，揭示了其沉迷与讽刺并存[5]。“痴”，并非现存的褒义词，而是一个亟待追问的对象。</w:t>
      </w:r>
    </w:p>
    <w:p>
      <w:pPr>
        <w:spacing w:line="360" w:lineRule="auto" w:before="0" w:after="0"/>
        <w:ind w:firstLine="480"/>
      </w:pPr>
      <w:r>
        <w:rPr>
          <w:rFonts w:ascii="Times New Roman" w:hAnsi="Times New Roman" w:eastAsia="宋体"/>
          <w:sz w:val="24"/>
        </w:rPr>
        <w:t>在具体篇目上，就《黄英》而言，学界的争论分为两端。夏中权、李秋花在《离经叛道·惊世骇俗》中认为，此篇意图张扬的是一种反传统的精神，以“君子固穷”观念的崩解和马子才的迂腐来对比出黄英姐弟所代表的“以劳动致富”的新观念的胜利[6]。赵海霞《论蒲松龄的儒者情怀》则持相反态度，认为蒲松龄虽认可商人地位的提升，但究其内心仍以“儒”为正统。最后黄英不再售菊、女子嫁入世家表现的是“商贾归于儒”[7]。这两种说法的争锋相对，恰恰说明了《黄英》所表达意蕴的多样性和复杂性，也是本文第三章将处理的问题。</w:t>
      </w:r>
    </w:p>
    <w:p>
      <w:pPr>
        <w:spacing w:line="360" w:lineRule="auto" w:before="0" w:after="0"/>
        <w:ind w:firstLine="480"/>
      </w:pPr>
      <w:r>
        <w:rPr>
          <w:rFonts w:ascii="Times New Roman" w:hAnsi="Times New Roman" w:eastAsia="宋体"/>
          <w:sz w:val="24"/>
        </w:rPr>
        <w:t>纵观现有的研究，多单论“痴”的形象内涵，或把某篇放在历史语境中多单独考量，较少将“痴人”与“异的纠偏”结合起来考察。本文即以《书痴》《黄英》对读，试图提炼出一条完整的叙事逻辑。</w:t>
      </w:r>
    </w:p>
    <w:p>
      <w:pPr>
        <w:pStyle w:val="Heading2"/>
        <w:keepNext/>
      </w:pPr>
      <w:r>
        <w:rPr>
          <w:rFonts w:ascii="Times New Roman" w:hAnsi="Times New Roman" w:eastAsia="宋体"/>
          <w:b/>
          <w:sz w:val="28"/>
        </w:rPr>
        <w:t>（三）研究对象与问题</w:t>
      </w:r>
    </w:p>
    <w:p>
      <w:pPr>
        <w:spacing w:line="360" w:lineRule="auto" w:before="0" w:after="0"/>
        <w:ind w:firstLine="480"/>
      </w:pPr>
      <w:r>
        <w:rPr>
          <w:rFonts w:ascii="Times New Roman" w:hAnsi="Times New Roman" w:eastAsia="宋体"/>
          <w:sz w:val="24"/>
        </w:rPr>
        <w:t>本文选取《聊斋志异》中的《书痴》《黄英》做文本细读，缘于两篇既有差异，又有共性。共性在于均写文人之“痴”，主角或痴书、或痴菊，均为“痴人”的一种，同时，又有“异”这一形象的出现。差异在于两者所对应的现实领域不同。《书痴》以书指向科举文化，《黄英》以菊指向商品经济发展的潮流下文人清雅理想和生计之间的冲突。</w:t>
      </w:r>
    </w:p>
    <w:p>
      <w:pPr>
        <w:spacing w:line="360" w:lineRule="auto" w:before="0" w:after="0"/>
        <w:ind w:firstLine="480"/>
      </w:pPr>
      <w:r>
        <w:rPr>
          <w:rFonts w:ascii="Times New Roman" w:hAnsi="Times New Roman" w:eastAsia="宋体"/>
          <w:sz w:val="24"/>
        </w:rPr>
        <w:t>据此，本文讨论三个问题。第一，两篇文章中的“痴”究竟是一种值得赞扬的真性情，还是一种对现实的确然偏离。第二，颜如玉等“异”的形象，究竟是在成全现实世界中无法满足的幻想，还是纠偏幻想而带有现实性？第三，结局是歌颂理想主义的胜利，还是意味着文人最终对现实的妥协？</w:t>
      </w:r>
    </w:p>
    <w:p>
      <w:pPr>
        <w:pStyle w:val="Heading2"/>
        <w:keepNext/>
      </w:pPr>
      <w:r>
        <w:rPr>
          <w:rFonts w:ascii="Times New Roman" w:hAnsi="Times New Roman" w:eastAsia="宋体"/>
          <w:b/>
          <w:sz w:val="28"/>
        </w:rPr>
        <w:t>（四）研究方法</w:t>
      </w:r>
    </w:p>
    <w:p>
      <w:pPr>
        <w:spacing w:line="360" w:lineRule="auto" w:before="0" w:after="0"/>
        <w:ind w:firstLine="480"/>
      </w:pPr>
      <w:r>
        <w:rPr>
          <w:rFonts w:ascii="Times New Roman" w:hAnsi="Times New Roman" w:eastAsia="宋体"/>
          <w:sz w:val="24"/>
        </w:rPr>
        <w:t>本文以文本细读为主要研究方法。从《书痴》《黄英》的文本出发进行对比分析，并结合时代特征，引入明清文人雅趣、商品经济和科举制度的背景。</w:t>
      </w:r>
    </w:p>
    <w:p>
      <w:pPr>
        <w:spacing w:line="360" w:lineRule="auto" w:before="0" w:after="0"/>
        <w:ind w:firstLine="480"/>
      </w:pPr>
      <w:r>
        <w:rPr>
          <w:rFonts w:ascii="Times New Roman" w:hAnsi="Times New Roman" w:eastAsia="宋体"/>
          <w:sz w:val="24"/>
        </w:rPr>
        <w:t>需要说明的是，本文着眼于情节走向，把两篇结局理解为“妥协”，这未必出处与异史氏的评语一致。而关于“痴”者形象，《聊斋》评点常认为这是一种真性情，但在具体的情节中往往又与这种褒扬之间存在张力。本文正希望留意这种张力，并以此发掘《聊斋》的表达意蕴。</w:t>
      </w:r>
    </w:p>
    <w:p>
      <w:pPr>
        <w:pStyle w:val="Heading1"/>
        <w:keepNext/>
      </w:pPr>
      <w:r>
        <w:rPr>
          <w:rFonts w:ascii="Times New Roman" w:hAnsi="Times New Roman" w:eastAsia="宋体"/>
          <w:b/>
          <w:sz w:val="30"/>
        </w:rPr>
        <w:t>二、痴：对现实秩序的偏离</w:t>
      </w:r>
    </w:p>
    <w:p>
      <w:pPr>
        <w:spacing w:line="360" w:lineRule="auto" w:before="0" w:after="0"/>
        <w:ind w:firstLine="480"/>
      </w:pPr>
      <w:r>
        <w:rPr>
          <w:rFonts w:ascii="Times New Roman" w:hAnsi="Times New Roman" w:eastAsia="宋体"/>
          <w:sz w:val="24"/>
        </w:rPr>
        <w:t>把“痴”读作真性情，这本身不错。但是容易忽略一个前提：在妖鬼神仙出现前，“痴”本身在现实中面临着无法解决的困境。郎玉柱的痴，把书本当做了现实的一切，马子才的痴，对清雅的追寻超过了生存的需求。也正因为“痴”现实中处处碰壁，才给了“异”的介入空间。</w:t>
      </w:r>
    </w:p>
    <w:p>
      <w:pPr>
        <w:pStyle w:val="Heading2"/>
        <w:keepNext/>
      </w:pPr>
      <w:r>
        <w:rPr>
          <w:rFonts w:ascii="Times New Roman" w:hAnsi="Times New Roman" w:eastAsia="宋体"/>
          <w:b/>
          <w:sz w:val="28"/>
        </w:rPr>
        <w:t>（一）郎玉柱：把书本作为现实</w:t>
      </w:r>
    </w:p>
    <w:p>
      <w:pPr>
        <w:spacing w:line="360" w:lineRule="auto" w:before="0" w:after="0"/>
        <w:ind w:firstLine="480"/>
      </w:pPr>
      <w:r>
        <w:rPr>
          <w:rFonts w:ascii="Times New Roman" w:hAnsi="Times New Roman" w:eastAsia="宋体"/>
          <w:sz w:val="24"/>
        </w:rPr>
        <w:t>《书痴》开篇就把郎玉柱的家世和痴态交代清楚了：</w:t>
      </w:r>
    </w:p>
    <w:p>
      <w:pPr>
        <w:spacing w:line="360" w:lineRule="auto" w:before="0" w:after="0"/>
        <w:ind w:firstLine="480"/>
      </w:pPr>
      <w:r>
        <w:rPr>
          <w:rFonts w:ascii="Times New Roman" w:hAnsi="Times New Roman" w:eastAsia="宋体"/>
          <w:sz w:val="24"/>
        </w:rPr>
        <w:t>彭城郎玉柱，其先世官至太守，居官廉，得俸不治生产，积书盈屋。至玉柱，尤痴。家苦贫，无物不鬻，惟父藏书，一卷不忍置。父在时，曾书《劝学篇》黏其座右，郎日讽诵，又幛以素纱，惟恐磨灭。非为干禄，实信书中真有金粟。昼夜研读，无间寒暑。年二十馀，不求婚配，冀卷中丽人自至。见宾亲，不知温凉，三数语后，则诵声大作，客逡巡自去。（《书痴》）[8]</w:t>
      </w:r>
    </w:p>
    <w:p>
      <w:pPr>
        <w:spacing w:line="360" w:lineRule="auto" w:before="0" w:after="0"/>
        <w:ind w:firstLine="480"/>
      </w:pPr>
      <w:r>
        <w:rPr>
          <w:rFonts w:ascii="Times New Roman" w:hAnsi="Times New Roman" w:eastAsia="宋体"/>
          <w:sz w:val="24"/>
        </w:rPr>
        <w:t>“非为干禄，实信书中真有金粟”是真宗《劝学篇》的“书中自有千钟粟”“书中自有颜如玉”两句，本来是劝学之语。其本意应是：好好读书，应举入士、考取功名、享高官俸禄、赢取妻子这一整套流程。但郎玉柱只取其字面意思，读书不为功名，也不在现实中实践，而是真的相信书中有黄金、有米粟。对他来说，书不是用以了解现实的工具，而是成为了现实绝佳的替代。</w:t>
      </w:r>
    </w:p>
    <w:p>
      <w:pPr>
        <w:spacing w:line="360" w:lineRule="auto" w:before="0" w:after="0"/>
        <w:ind w:firstLine="480"/>
      </w:pPr>
      <w:r>
        <w:rPr>
          <w:rFonts w:ascii="Times New Roman" w:hAnsi="Times New Roman" w:eastAsia="宋体"/>
          <w:sz w:val="24"/>
        </w:rPr>
        <w:t>这份“痴”固然有对求知的纯粹，但不可否认的是，这个“痴人”与现实脱节也很明显。二十余岁不求婚配，却幻想着美人从书中自至，见亲朋好友不知寒暄，只管读书而把人晾在一旁，这显然不能简单地用真性情来褒扬。更具讽刺意味的是后面写到“每文宗临试，辄首拔之，而苦不得售”[8]，嗜书如命，每场考试被点为头名，但最终却难中举，说明读书再痴情，却连靠读书取胜的科举也未必能应付。我们不禁疑惑，这样死读书、不经世事的人，到底是一种“高洁”还是“无能？刘云汉据此把郎玉柱分为三层：首先是食古不化、死读书之人，再是不通世故的呆子，最后才是天真单纯的”真痴“之人[2]。而但明伦以一句”痴于书则可，痴于他事则不可“更一语中的的点出，其在读书之外的事情上的全然无能（转引自刘云汉[2]）。</w:t>
      </w:r>
    </w:p>
    <w:p>
      <w:pPr>
        <w:spacing w:line="360" w:lineRule="auto" w:before="0" w:after="0"/>
        <w:ind w:firstLine="480"/>
      </w:pPr>
      <w:r>
        <w:rPr>
          <w:rFonts w:ascii="Times New Roman" w:hAnsi="Times New Roman" w:eastAsia="宋体"/>
          <w:sz w:val="24"/>
        </w:rPr>
        <w:t>借用蔡九迪对“癖”的分析，郎玉柱的痴由真性情滑向了沉迷的一端[5]。那么他沉迷的是什么？看似他不取功名，应该是足够纯粹爱地痴书，但怪就怪在他信奉的却是那一条“书中自有千钟粟”“书中自有颜如玉”的鼓励考取科举的功利话术，而他以“颜如玉”和“千钟粟”为读书目的则更说明了并非无欲无求之人，他并非不希望科举，只是希望绕过科举这条路，直取最终的美人与千金。前人多把《聊斋》之痴概括为“真、纯、诚、美”的流露（语出刘云汉[2]），但至少在《书痴》里，我们更深切的感受到这份“真”是掺了水的，郎玉柱越是相信书本万能，越显出科举观念对一个读书人的规训有多深。他的痴既是真性情，也是被规训出来的病态。</w:t>
      </w:r>
    </w:p>
    <w:p>
      <w:pPr>
        <w:pStyle w:val="Heading2"/>
        <w:keepNext/>
      </w:pPr>
      <w:r>
        <w:rPr>
          <w:rFonts w:ascii="Times New Roman" w:hAnsi="Times New Roman" w:eastAsia="宋体"/>
          <w:b/>
          <w:sz w:val="28"/>
        </w:rPr>
        <w:t>（二）马子才：清雅姿态与生计的疏离</w:t>
      </w:r>
    </w:p>
    <w:p>
      <w:pPr>
        <w:spacing w:line="360" w:lineRule="auto" w:before="0" w:after="0"/>
        <w:ind w:firstLine="480"/>
      </w:pPr>
      <w:r>
        <w:rPr>
          <w:rFonts w:ascii="Times New Roman" w:hAnsi="Times New Roman" w:eastAsia="宋体"/>
          <w:sz w:val="24"/>
        </w:rPr>
        <w:t>马子才之痴则是另一副模样。《黄英》开篇所写到：</w:t>
      </w:r>
    </w:p>
    <w:p>
      <w:pPr>
        <w:spacing w:line="360" w:lineRule="auto" w:before="0" w:after="0"/>
        <w:ind w:firstLine="480"/>
      </w:pPr>
      <w:r>
        <w:rPr>
          <w:rFonts w:ascii="Times New Roman" w:hAnsi="Times New Roman" w:eastAsia="宋体"/>
          <w:sz w:val="24"/>
        </w:rPr>
        <w:t>“马子才，顺天人。世好菊，至才尤甚，闻有佳种，必购之，千里不惮。”[8]</w:t>
      </w:r>
    </w:p>
    <w:p>
      <w:pPr>
        <w:spacing w:line="360" w:lineRule="auto" w:before="0" w:after="0"/>
        <w:ind w:firstLine="480"/>
      </w:pPr>
      <w:r>
        <w:rPr>
          <w:rFonts w:ascii="Times New Roman" w:hAnsi="Times New Roman" w:eastAsia="宋体"/>
          <w:sz w:val="24"/>
        </w:rPr>
        <w:t>为了购得一个好的菊种不惜千里奔波，可见菊在他这里早已不只是简单的花了，而是一种人格的象征。他以陶渊明自况，把“采菊东篱下，悠然见南山”的清高认作自己的人格标识。</w:t>
      </w:r>
    </w:p>
    <w:p>
      <w:pPr>
        <w:spacing w:line="360" w:lineRule="auto" w:before="0" w:after="0"/>
        <w:ind w:firstLine="480"/>
      </w:pPr>
      <w:r>
        <w:rPr>
          <w:rFonts w:ascii="Times New Roman" w:hAnsi="Times New Roman" w:eastAsia="宋体"/>
          <w:sz w:val="24"/>
        </w:rPr>
        <w:t>需要辨明的是，马子才的虽痴，但并不穷。他有屋可以让陶生借居南圃，妻吕氏还能“不时以升斗馈恤之”去接济更穷的陶家。他的“痴”是一种姿态：他把“雅”置于“利”之上，但又耻于承认清雅也是需要不少资本的，他本身需要钱才能供养。所以陶生当提起“卖菊亦足谋生”，“素介”的马子才时，便“甚鄙之”，当面回敬：“仆以君风流高士，当能安贫，今作是论，则以东篱为市井，有辱黄花矣。”[8]在他的眼中，菊花本是清雅之物，一旦用来“谋生”便是对菊花本身，更是对自己这一“风流高士”的亵渎。</w:t>
      </w:r>
    </w:p>
    <w:p>
      <w:pPr>
        <w:spacing w:line="360" w:lineRule="auto" w:before="0" w:after="0"/>
        <w:ind w:firstLine="480"/>
      </w:pPr>
      <w:r>
        <w:rPr>
          <w:rFonts w:ascii="Times New Roman" w:hAnsi="Times New Roman" w:eastAsia="宋体"/>
          <w:sz w:val="24"/>
        </w:rPr>
        <w:t>余习惠正是从这一点，把马子才看作一个以苦为乐、洁身自好而又正直的形象，认为他宁愿“祝穷”也“耻以妻富”是一种傲骨[4]。诚然，这揭示了在当时商品经济冲击下可敬的一面，但只看到可敬也难以解释后文他处境的窘迫。而夏中权说了另一面，马子才把“君子固穷”奉为铁律，把正当的求富也一概看成俗与贪，于是才显出十足的迂阔[6]。</w:t>
      </w:r>
    </w:p>
    <w:p>
      <w:pPr>
        <w:spacing w:line="360" w:lineRule="auto" w:before="0" w:after="0"/>
        <w:ind w:firstLine="480"/>
      </w:pPr>
      <w:r>
        <w:rPr>
          <w:rFonts w:ascii="Times New Roman" w:hAnsi="Times New Roman" w:eastAsia="宋体"/>
          <w:sz w:val="24"/>
        </w:rPr>
        <w:t>柯律格在谈晚明士人的“雅”时指出，清趣从来没有真正独立在商品和消费之外，要维持所谓的“雅”则不需要相当的物质支持[9]。马子才正缺的是这一自觉：雅依赖物质，但他耻于承认物质；他需要生活供给，但瞧不起生活本身。根本上，他将“菊”和“雅”这种审美绝对化，再用道德优越感拒绝现实的经济逻辑。</w:t>
      </w:r>
    </w:p>
    <w:p>
      <w:pPr>
        <w:pStyle w:val="Heading2"/>
        <w:keepNext/>
      </w:pPr>
      <w:r>
        <w:rPr>
          <w:rFonts w:ascii="Times New Roman" w:hAnsi="Times New Roman" w:eastAsia="宋体"/>
          <w:b/>
          <w:sz w:val="28"/>
        </w:rPr>
        <w:t>（三）两种痴的对照</w:t>
      </w:r>
    </w:p>
    <w:p>
      <w:pPr>
        <w:spacing w:line="360" w:lineRule="auto" w:before="0" w:after="0"/>
        <w:ind w:firstLine="480"/>
      </w:pPr>
      <w:r>
        <w:rPr>
          <w:rFonts w:ascii="Times New Roman" w:hAnsi="Times New Roman" w:eastAsia="宋体"/>
          <w:sz w:val="24"/>
        </w:rPr>
        <w:t>郎玉柱和马子才所痴之物虽不同，但是结构是相似的。其一，他们都走入了绝对化，前者绝对化书本，后者绝对化菊的清雅；其二，他们都拒绝现实，前者拒绝现实的人情世故，后者拒绝真实的经济逻辑。最后也是最为重要的一点，他们的痴实是反应的士大夫处境：那些被科举观念灌输的人，和在商品经济发展下希望守住清高的文人。</w:t>
      </w:r>
    </w:p>
    <w:p>
      <w:pPr>
        <w:spacing w:line="360" w:lineRule="auto" w:before="0" w:after="0"/>
        <w:ind w:firstLine="480"/>
      </w:pPr>
      <w:r>
        <w:rPr>
          <w:rFonts w:ascii="Times New Roman" w:hAnsi="Times New Roman" w:eastAsia="宋体"/>
          <w:sz w:val="24"/>
        </w:rPr>
        <w:t>然而，我们也不能否认蒲松龄写这份“痴”时字里行间都惋惜和怜惜，郎玉柱“逢人辄道”，马子才宁愿“祝穷”[8]，这亦是“痴”中可爱和真的一面。但本文想要揭示的是，在当时背景和行文逻辑中，这份“痴”实际在现实逻辑中行不通，才给了“异”的介入余地，否则若“痴”能在现实中逻辑自洽，鬼怪神仙也自无从纠正了。</w:t>
      </w:r>
    </w:p>
    <w:p>
      <w:pPr>
        <w:pStyle w:val="Heading1"/>
        <w:keepNext/>
      </w:pPr>
      <w:r>
        <w:rPr>
          <w:rFonts w:ascii="Times New Roman" w:hAnsi="Times New Roman" w:eastAsia="宋体"/>
          <w:b/>
          <w:sz w:val="30"/>
        </w:rPr>
        <w:t>三、异：作为纠偏者的神女与花妖</w:t>
      </w:r>
    </w:p>
    <w:p>
      <w:pPr>
        <w:spacing w:line="360" w:lineRule="auto" w:before="0" w:after="0"/>
        <w:ind w:firstLine="480"/>
      </w:pPr>
      <w:r>
        <w:rPr>
          <w:rFonts w:ascii="Times New Roman" w:hAnsi="Times New Roman" w:eastAsia="宋体"/>
          <w:sz w:val="24"/>
        </w:rPr>
        <w:t>既然“痴”因行不通给了“异介入余地，那么”异“究竟扮演怎样的角色？</w:t>
      </w:r>
    </w:p>
    <w:p>
      <w:pPr>
        <w:spacing w:line="360" w:lineRule="auto" w:before="0" w:after="0"/>
        <w:ind w:firstLine="480"/>
      </w:pPr>
      <w:r>
        <w:rPr>
          <w:rFonts w:ascii="Times New Roman" w:hAnsi="Times New Roman" w:eastAsia="宋体"/>
          <w:sz w:val="24"/>
        </w:rPr>
        <w:t>最普遍的说法是“补偿”，在《聊斋志异》多篇中，“异”是一种当士人在现实不得时，在幻想中的一种补偿。书生无偶《婴宁》送来狐女、《聂小倩》送来鬼女，寒士落难无缘，《红玉》《娇娜》里的狐女便仗义相助。这种“补偿”之说有恰又与蒲松龄的身世相印证，他一生家境清贫，自道《聊斋》是“浮白载笔，仅成孤愤之书”[8]，于是后者也大多认为“异”是一种补偿和寄托。</w:t>
      </w:r>
    </w:p>
    <w:p>
      <w:pPr>
        <w:spacing w:line="360" w:lineRule="auto" w:before="0" w:after="0"/>
        <w:ind w:firstLine="480"/>
      </w:pPr>
      <w:r>
        <w:rPr>
          <w:rFonts w:ascii="Times New Roman" w:hAnsi="Times New Roman" w:eastAsia="宋体"/>
          <w:sz w:val="24"/>
        </w:rPr>
        <w:t>但若把“异”一概读成补偿，《书痴》《黄英》篇则有数处不通，明明郎玉柱嗜书如命，为何颜如玉反逼其放下书本？明明马子才要清高，为何黄英姐弟偏把菊引入市井？本章就两篇文本，看“异”如何不再是成全痴人的那个角色，而是一个“纠偏者”，让他们看到理想和现实的差距。</w:t>
      </w:r>
    </w:p>
    <w:p>
      <w:pPr>
        <w:pStyle w:val="Heading2"/>
        <w:keepNext/>
      </w:pPr>
      <w:r>
        <w:rPr>
          <w:rFonts w:ascii="Times New Roman" w:hAnsi="Times New Roman" w:eastAsia="宋体"/>
          <w:b/>
          <w:sz w:val="28"/>
        </w:rPr>
        <w:t>（一）颜如玉</w:t>
      </w:r>
    </w:p>
    <w:p>
      <w:pPr>
        <w:spacing w:line="360" w:lineRule="auto" w:before="0" w:after="0"/>
        <w:ind w:firstLine="480"/>
      </w:pPr>
      <w:r>
        <w:rPr>
          <w:rFonts w:ascii="Times New Roman" w:hAnsi="Times New Roman" w:eastAsia="宋体"/>
          <w:sz w:val="24"/>
        </w:rPr>
        <w:t>颜如玉从《汉书》中走出，“下几亭亭，宛然绝代之姝”[8]，这刚好应了郎玉柱最深的痴想，书中竟然真的有颜如玉。但颜如玉却并不只是一个如花似玉的“颜如玉”，她进入郎玉柱生活后，第一件事就是不再允许他死读书：</w:t>
      </w:r>
    </w:p>
    <w:p>
      <w:pPr>
        <w:pStyle w:val="ThesisQuote"/>
        <w:spacing w:line="360" w:lineRule="auto" w:before="0" w:after="0"/>
      </w:pPr>
      <w:r>
        <w:rPr>
          <w:rFonts w:ascii="Times New Roman" w:hAnsi="Times New Roman" w:eastAsia="宋体"/>
          <w:sz w:val="24"/>
        </w:rPr>
        <w:t>每读，必使女坐其侧。女戒勿读，不听。女曰：“君所以不能腾达者，徒以读耳。试观春秋榜上，读如君者几人？若不听，妾行去矣。”……女乃下曰：“君再不听，当相永绝！”因使治棋枰、樗蒱之具，日与遨戏。……授以弦索，限五日工一曲。……女乃日与饮博，郎遂乐而忘读。女又纵之出门，使结客，由此倜傥之名暴著。女曰：“子可以出而试矣。”（《书痴》）[8]</w:t>
      </w:r>
    </w:p>
    <w:p>
      <w:pPr>
        <w:spacing w:line="360" w:lineRule="auto" w:before="0" w:after="0"/>
        <w:ind w:firstLine="480"/>
      </w:pPr>
      <w:r>
        <w:rPr>
          <w:rFonts w:ascii="Times New Roman" w:hAnsi="Times New Roman" w:eastAsia="宋体"/>
          <w:sz w:val="24"/>
        </w:rPr>
        <w:t>“君所以不能腾达者，徒以读耳”几乎是对郎玉柱一生所信奉的信条直击要害的攻击。他信奉书中有黄金屋、有颜如玉，信奉功名富贵都在书中，而颜如玉却告诉他，功名不再死读中，而在他往往所忽视的生活中。于是她以藏身要挟，逼他去抚琴、饮酒、交友，直到后来让他应试，甚至是后来传授他“枕席二字”一类的夫妻功夫。而让人哭笑不得的是，郎玉柱还认为“凡人男女同居则生子，今与卿居久，何不然也”[8]，这既可印证前文他死读书的迂，也可看出颜如玉如何帮他从书中慢慢抽出，重新环顾那个被他忽视已久的真实世界。</w:t>
      </w:r>
    </w:p>
    <w:p>
      <w:pPr>
        <w:spacing w:line="360" w:lineRule="auto" w:before="0" w:after="0"/>
        <w:ind w:firstLine="480"/>
      </w:pPr>
      <w:r>
        <w:rPr>
          <w:rFonts w:ascii="Times New Roman" w:hAnsi="Times New Roman" w:eastAsia="宋体"/>
          <w:sz w:val="24"/>
        </w:rPr>
        <w:t>这样看来，与其说颜如玉是郎玉柱所幻想的那个虚幻世界的兑现，不如说是对其的修正和否定。她没有让郎玉柱进一步痴迷在书中，反而直言不能“徒读”，否定了读书就能成就人生的痴心妄想，让他看见真实世界。刘云汉说颜如玉是促使郎玉柱“由书痴转变成快意恩仇的'黠人'的催化剂”[2]。在这里“异”就是一位向导，她作为纠偏者，把痴人从书斋领回人间。</w:t>
      </w:r>
    </w:p>
    <w:p>
      <w:pPr>
        <w:pStyle w:val="Heading2"/>
        <w:keepNext/>
      </w:pPr>
      <w:r>
        <w:rPr>
          <w:rFonts w:ascii="Times New Roman" w:hAnsi="Times New Roman" w:eastAsia="宋体"/>
          <w:b/>
          <w:sz w:val="28"/>
        </w:rPr>
        <w:t>（二）陶生与黄英</w:t>
      </w:r>
    </w:p>
    <w:p>
      <w:pPr>
        <w:spacing w:line="360" w:lineRule="auto" w:before="0" w:after="0"/>
        <w:ind w:firstLine="480"/>
      </w:pPr>
      <w:r>
        <w:rPr>
          <w:rFonts w:ascii="Times New Roman" w:hAnsi="Times New Roman" w:eastAsia="宋体"/>
          <w:sz w:val="24"/>
        </w:rPr>
        <w:t>在《黄英》中担负“纠偏”之责的，则是菊精姐弟二人，且均有不同的分工。</w:t>
      </w:r>
    </w:p>
    <w:p>
      <w:pPr>
        <w:spacing w:line="360" w:lineRule="auto" w:before="0" w:after="0"/>
        <w:ind w:firstLine="480"/>
      </w:pPr>
      <w:r>
        <w:rPr>
          <w:rFonts w:ascii="Times New Roman" w:hAnsi="Times New Roman" w:eastAsia="宋体"/>
          <w:sz w:val="24"/>
        </w:rPr>
        <w:t>先看陶生，他提出卖菊，并正面回敬了马子才清高：</w:t>
      </w:r>
    </w:p>
    <w:p>
      <w:pPr>
        <w:pStyle w:val="ThesisQuote"/>
        <w:spacing w:line="360" w:lineRule="auto" w:before="0" w:after="0"/>
      </w:pPr>
      <w:r>
        <w:rPr>
          <w:rFonts w:ascii="Times New Roman" w:hAnsi="Times New Roman" w:eastAsia="宋体"/>
          <w:sz w:val="24"/>
        </w:rPr>
        <w:t>陶一日谓马曰：“君家固不丰，仆日以口腹累知交，胡可为常？为今计，卖菊亦足谋生。”马素介，闻陶言，甚鄙之，曰：“仆以君风流高士，当能安贫，今作是论，则以东篱为市井，有辱黄花矣。”陶笑曰：“自食其力不为贪，贩花为业不为俗。人固不可苟求富，然亦不必务求贫也。”（《黄英》）[8]</w:t>
      </w:r>
    </w:p>
    <w:p>
      <w:pPr>
        <w:spacing w:line="360" w:lineRule="auto" w:before="0" w:after="0"/>
        <w:ind w:firstLine="480"/>
      </w:pPr>
      <w:r>
        <w:rPr>
          <w:rFonts w:ascii="Times New Roman" w:hAnsi="Times New Roman" w:eastAsia="宋体"/>
          <w:sz w:val="24"/>
        </w:rPr>
        <w:t>“自食其力不为贪，贩花为业不为俗”正是全篇顶撞马子才的关键。陶生面对“有辱黄花”一论断，巧妙化解了马子才的滑坡归谬，我自食其力贩花名正言顺，合法合规，怎到你眼中就成了“有辱黄花”？与其说是我“辱”了黄花，更多的是你马子才自居清高的偏见罢了。夏中权认为，这句话有力地挑战了“君子固穷”的传统观念[6]。他摘掉“自食其力”贪和俗的帽子，直言了谋取商业利益的正道性，反而是马子才，既要花钱去买花，又不愿意承认正常的交易。而此后他将马子才丢掉的劣种捡去栽培为佳种，生意做的红红火火，更是证明了生计和清雅并非水火不容。</w:t>
      </w:r>
    </w:p>
    <w:p>
      <w:pPr>
        <w:spacing w:line="360" w:lineRule="auto" w:before="0" w:after="0"/>
        <w:ind w:firstLine="480"/>
      </w:pPr>
      <w:r>
        <w:rPr>
          <w:rFonts w:ascii="Times New Roman" w:hAnsi="Times New Roman" w:eastAsia="宋体"/>
          <w:sz w:val="24"/>
        </w:rPr>
        <w:t>再看黄英，在马子才的妻子去世后，她嫁给马子才接管种菊生意，家业在她的经营下越来越大。而马子才却“耻以妻富”，三番两次要把账分开记来展示自己的清高：</w:t>
      </w:r>
    </w:p>
    <w:p>
      <w:pPr>
        <w:pStyle w:val="ThesisQuote"/>
        <w:spacing w:line="360" w:lineRule="auto" w:before="0" w:after="0"/>
      </w:pPr>
      <w:r>
        <w:rPr>
          <w:rFonts w:ascii="Times New Roman" w:hAnsi="Times New Roman" w:eastAsia="宋体"/>
          <w:sz w:val="24"/>
        </w:rPr>
        <w:t>马耻以妻富，恒嘱黄英作南北籍，以防淆乱。而家所须，黄英辄取诸南第。……凡数更，马不胜烦。黄英笑曰：“陈仲子毋乃劳乎？”马惭，不复稽，一切听诸黄英。……两第竟合为一，不分疆界矣。（《黄英》）[8]</w:t>
      </w:r>
    </w:p>
    <w:p>
      <w:pPr>
        <w:spacing w:line="360" w:lineRule="auto" w:before="0" w:after="0"/>
        <w:ind w:firstLine="480"/>
      </w:pPr>
      <w:r>
        <w:rPr>
          <w:rFonts w:ascii="Times New Roman" w:hAnsi="Times New Roman" w:eastAsia="宋体"/>
          <w:sz w:val="24"/>
        </w:rPr>
        <w:t>“陈仲子毋乃劳乎”出自《孟子》，陈仲子在《孟子》中以廉出名，孟子一面称赞他的操守，但一面又说这种廉洁不能长久。黄英正是以这句一针见血的点出了马子才可笑而矫情的清高：为了所谓的“不沾妻财”折腾去折腾来，到头来也是自讨苦吃。马子才听后羞愧不已，不再计较，因为他所珍视的“清雅”并非凭空而来，而是在黄英的辛勤经营下才得来的。</w:t>
      </w:r>
    </w:p>
    <w:p>
      <w:pPr>
        <w:spacing w:line="360" w:lineRule="auto" w:before="0" w:after="0"/>
        <w:ind w:firstLine="480"/>
      </w:pPr>
      <w:r>
        <w:rPr>
          <w:rFonts w:ascii="Times New Roman" w:hAnsi="Times New Roman" w:eastAsia="宋体"/>
          <w:sz w:val="24"/>
        </w:rPr>
        <w:t>合而观之，陶生用辩论和实业证明了“自食其力不为贪，贩花为业不为俗”，黄英则用持家揭开了马子才“耻于言利”的面具。姐弟印证了柯律格所说的，“雅”和商品本来就难以两分[9]，也作为“异”对马子才的清雅进行了纠偏。</w:t>
      </w:r>
    </w:p>
    <w:p>
      <w:pPr>
        <w:pStyle w:val="Heading2"/>
        <w:keepNext/>
      </w:pPr>
      <w:r>
        <w:rPr>
          <w:rFonts w:ascii="Times New Roman" w:hAnsi="Times New Roman" w:eastAsia="宋体"/>
          <w:b/>
          <w:sz w:val="28"/>
        </w:rPr>
        <w:t>（三）“异”的双重身份</w:t>
      </w:r>
    </w:p>
    <w:p>
      <w:pPr>
        <w:spacing w:line="360" w:lineRule="auto" w:before="0" w:after="0"/>
        <w:ind w:firstLine="480"/>
      </w:pPr>
      <w:r>
        <w:rPr>
          <w:rFonts w:ascii="Times New Roman" w:hAnsi="Times New Roman" w:eastAsia="宋体"/>
          <w:sz w:val="24"/>
        </w:rPr>
        <w:t>颜如玉和黄英姐弟都具有双重身份。一方面，他们来自于幻境，是为了满足于痴人之愿而出现；另一方面，他们又不仅仅是无原则的满足这一“愿”，而是点醒了痴人所忽略的现实。颜如玉纠正的是书本迷信，陶生、黄英所纠正的是清雅洁癖。</w:t>
      </w:r>
    </w:p>
    <w:p>
      <w:pPr>
        <w:spacing w:line="360" w:lineRule="auto" w:before="0" w:after="0"/>
        <w:ind w:firstLine="480"/>
      </w:pPr>
      <w:r>
        <w:rPr>
          <w:rFonts w:ascii="Times New Roman" w:hAnsi="Times New Roman" w:eastAsia="宋体"/>
          <w:sz w:val="24"/>
        </w:rPr>
        <w:t>因而，从叙事走向来看，“异”绝非简单的补偿，其作用更接近与纠偏。当然，这并不是否定了其“补偿”，毕竟颜如玉之所以出现，也是因为郎玉柱天天信奉“书中自有颜如玉”，所以在某一层面，“异”的确满足了痴人的愿望。但若只停留在补偿，就很难解释为什么“异”反而反过来纠正痴人之“痴”，只有肯定“异”成全与纠偏的双重身份，那些讥讽、告诫和劝谏的言论才有了着落，那些让痴人回望现实的劝说才显得真实。</w:t>
      </w:r>
    </w:p>
    <w:p>
      <w:pPr>
        <w:spacing w:line="360" w:lineRule="auto" w:before="0" w:after="0"/>
        <w:ind w:firstLine="480"/>
      </w:pPr>
      <w:r>
        <w:rPr>
          <w:rFonts w:ascii="Times New Roman" w:hAnsi="Times New Roman" w:eastAsia="宋体"/>
          <w:sz w:val="24"/>
        </w:rPr>
        <w:t>至于在纠偏之后，痴人将要通往何方，两篇又各有分寸。前者归于科举官场，后者归于由商返儒。这便是接下来我们探讨的主题。</w:t>
      </w:r>
    </w:p>
    <w:p>
      <w:pPr>
        <w:pStyle w:val="Heading1"/>
        <w:keepNext/>
      </w:pPr>
      <w:r>
        <w:rPr>
          <w:rFonts w:ascii="Times New Roman" w:hAnsi="Times New Roman" w:eastAsia="宋体"/>
          <w:b/>
          <w:sz w:val="30"/>
        </w:rPr>
        <w:t>四、结局：科举收编与雅俗合流</w:t>
      </w:r>
    </w:p>
    <w:p>
      <w:pPr>
        <w:spacing w:line="360" w:lineRule="auto" w:before="0" w:after="0"/>
        <w:ind w:firstLine="480"/>
      </w:pPr>
      <w:r>
        <w:rPr>
          <w:rFonts w:ascii="Times New Roman" w:hAnsi="Times New Roman" w:eastAsia="宋体"/>
          <w:sz w:val="24"/>
        </w:rPr>
        <w:t>“异”帮助痴人回归现实后，故事并未因此而终结，在回归现实后的结局，痴人将要归去哪里，以怎样的姿势归去，两篇也并不相同。</w:t>
      </w:r>
    </w:p>
    <w:p>
      <w:pPr>
        <w:pStyle w:val="Heading2"/>
        <w:keepNext/>
      </w:pPr>
      <w:r>
        <w:rPr>
          <w:rFonts w:ascii="Times New Roman" w:hAnsi="Times New Roman" w:eastAsia="宋体"/>
          <w:b/>
          <w:sz w:val="28"/>
        </w:rPr>
        <w:t>（一）《书痴》的结局：焚书、复仇与刺贪刺虐</w:t>
      </w:r>
    </w:p>
    <w:p>
      <w:pPr>
        <w:spacing w:line="360" w:lineRule="auto" w:before="0" w:after="0"/>
        <w:ind w:firstLine="480"/>
      </w:pPr>
      <w:r>
        <w:rPr>
          <w:rFonts w:ascii="Times New Roman" w:hAnsi="Times New Roman" w:eastAsia="宋体"/>
          <w:sz w:val="24"/>
        </w:rPr>
        <w:t>《书痴》的转折，在颜如玉的离去和书屋焚毁。颜如玉自知有恶运，在一天和郎玉柱告别：“妾从君二年，业生子，可以别矣。久恐为君祸，悔之已晚。”[8]因为郎玉柱的亲族见过颜如玉，又为听说他有过定亲，便无不骇异。事情最终传到了县令史某，史某因颜如玉美貌而动心，“闻声倾动，窃欲一睹丽容”，于是把郎玉柱收进监狱，但郎玉柱“垂死，无一言”。史某断定是妖，亲自上门，“见书卷盈屋，多不胜搜，乃焚之，庭中烟结不散”[8]郎玉柱生命的寄托被焚毁，深爱的妻子也走散，在一场大火中失去了所有的念想。</w:t>
      </w:r>
    </w:p>
    <w:p>
      <w:pPr>
        <w:spacing w:line="360" w:lineRule="auto" w:before="0" w:after="0"/>
        <w:ind w:firstLine="480"/>
      </w:pPr>
      <w:r>
        <w:rPr>
          <w:rFonts w:ascii="Times New Roman" w:hAnsi="Times New Roman" w:eastAsia="宋体"/>
          <w:sz w:val="24"/>
        </w:rPr>
        <w:t>值得注意的是此后的去向：</w:t>
      </w:r>
    </w:p>
    <w:p>
      <w:pPr>
        <w:pStyle w:val="ThesisQuote"/>
        <w:spacing w:line="360" w:lineRule="auto" w:before="0" w:after="0"/>
      </w:pPr>
      <w:r>
        <w:rPr>
          <w:rFonts w:ascii="Times New Roman" w:hAnsi="Times New Roman" w:eastAsia="宋体"/>
          <w:sz w:val="24"/>
        </w:rPr>
        <w:t>郎既释，远求父门人书，得从辨复。是年秋捷，次年举进士，而衔恨切于骨髓。为颜如玉之位，朝夕而祝曰：“卿如有灵，当佑我官于闽。”后果以直指巡闽。居三月，访史恶款，籍其家。……案既结，郎即日自劾，取妾而归。（《书痴》）[8]</w:t>
      </w:r>
    </w:p>
    <w:p>
      <w:pPr>
        <w:spacing w:line="360" w:lineRule="auto" w:before="0" w:after="0"/>
        <w:ind w:firstLine="480"/>
      </w:pPr>
      <w:r>
        <w:rPr>
          <w:rFonts w:ascii="Times New Roman" w:hAnsi="Times New Roman" w:eastAsia="宋体"/>
          <w:sz w:val="24"/>
        </w:rPr>
        <w:t>从一面看，这正是“纠偏”的成功，当年的书痴循着颜如玉的指点成为了现实权力中的一员，从那个不知人情的痴人变成了被权力收编者。刘云汉就据此说他“由书痴转变成快意恩仇的'黠人'”[2]。但异史氏还在后面评到：</w:t>
      </w:r>
    </w:p>
    <w:p>
      <w:pPr>
        <w:pStyle w:val="ThesisQuote"/>
        <w:spacing w:line="360" w:lineRule="auto" w:before="0" w:after="0"/>
      </w:pPr>
      <w:r>
        <w:rPr>
          <w:rFonts w:ascii="Times New Roman" w:hAnsi="Times New Roman" w:eastAsia="宋体"/>
          <w:sz w:val="24"/>
        </w:rPr>
        <w:t>天下之物，积则招妒，好则生魔。女之妖，书之魔也。事近怪诞，治之未为不可，而祖龙之虐，不已惨乎？其存心之私，更宜得怨毒之报也。呜呼！何怪哉！（《书痴》）[8]</w:t>
      </w:r>
    </w:p>
    <w:p>
      <w:pPr>
        <w:spacing w:line="360" w:lineRule="auto" w:before="0" w:after="0"/>
        <w:ind w:firstLine="480"/>
      </w:pPr>
      <w:r>
        <w:rPr>
          <w:rFonts w:ascii="Times New Roman" w:hAnsi="Times New Roman" w:eastAsia="宋体"/>
          <w:sz w:val="24"/>
        </w:rPr>
        <w:t>“好则生魔”“书之魔也”，便是讽刺郎玉柱的痴，痴书走火入魔本不是好事。而后又话锋一转“祖龙之虐，不已惨乎”，把矛头指向焚书县令，认为“其存心之私，更宜得怨毒之报也。”也就是说，蒲松龄既不赞成郎玉柱的痴，也认为郎玉柱的报复是正义的伸张。循此来看，郎玉柱中举和报仇便不只是被权力收编这么简单，因为这还有一层对道义的伸张：一个被焚书逼到走投无路的痴人，最终用权力收拾了那个曾经使用权力的酷吏。</w:t>
      </w:r>
    </w:p>
    <w:p>
      <w:pPr>
        <w:spacing w:line="360" w:lineRule="auto" w:before="0" w:after="0"/>
        <w:ind w:firstLine="480"/>
      </w:pPr>
      <w:r>
        <w:rPr>
          <w:rFonts w:ascii="Times New Roman" w:hAnsi="Times New Roman" w:eastAsia="宋体"/>
          <w:sz w:val="24"/>
        </w:rPr>
        <w:t>但“收编”一说又在结尾变得存疑，在最后他“即日自劾，取妾而归”，说明他只是利用了官场，却并不打算真正变成官场中的人。《书痴》的结局其实留给我们的是一个复杂、痛苦而矛盾的背影，痴的迷障被纠正了，但因此失去了自己的热爱的“痴”与颜如玉；痴考取了科举功名，却在复仇后转身离去。蒲松龄既有讽刺又有怜惜，更有不平。因为读至结局他好像也没有完成颜如玉考取功名的夙愿，但他却带着创痛，带着正义的伸张结束了。</w:t>
      </w:r>
    </w:p>
    <w:p>
      <w:pPr>
        <w:pStyle w:val="Heading2"/>
        <w:keepNext/>
      </w:pPr>
      <w:r>
        <w:rPr>
          <w:rFonts w:ascii="Times New Roman" w:hAnsi="Times New Roman" w:eastAsia="宋体"/>
          <w:b/>
          <w:sz w:val="28"/>
        </w:rPr>
        <w:t>（二）《黄英》的结局：由商返儒与雅俗合流</w:t>
      </w:r>
    </w:p>
    <w:p>
      <w:pPr>
        <w:spacing w:line="360" w:lineRule="auto" w:before="0" w:after="0"/>
        <w:ind w:firstLine="480"/>
      </w:pPr>
      <w:r>
        <w:rPr>
          <w:rFonts w:ascii="Times New Roman" w:hAnsi="Times New Roman" w:eastAsia="宋体"/>
          <w:sz w:val="24"/>
        </w:rPr>
        <w:t>《黄英》的收束则更温和，却也更耐琢磨</w:t>
      </w:r>
    </w:p>
    <w:p>
      <w:pPr>
        <w:pStyle w:val="ThesisQuote"/>
        <w:spacing w:line="360" w:lineRule="auto" w:before="0" w:after="0"/>
      </w:pPr>
      <w:r>
        <w:rPr>
          <w:rFonts w:ascii="Times New Roman" w:hAnsi="Times New Roman" w:eastAsia="宋体"/>
          <w:sz w:val="24"/>
        </w:rPr>
        <w:t>然遵马教，闭门不复业菊，而享用过于世家。马不自安，曰：“仆三十年清德，为卿所累。今视息人间，徒依裙带而食，真无一毫丈夫气矣。人皆祝富，我但祝穷耳！”黄英曰：“妾非贪鄙，但不少致丰盈，遂令千载下人，谓渊明贫贱骨，百世不能发迹，故聊为我家彭泽解嘲耳。”（《黄英》）[8]</w:t>
      </w:r>
    </w:p>
    <w:p>
      <w:pPr>
        <w:spacing w:line="360" w:lineRule="auto" w:before="0" w:after="0"/>
        <w:ind w:firstLine="480"/>
      </w:pPr>
      <w:r>
        <w:rPr>
          <w:rFonts w:ascii="Times New Roman" w:hAnsi="Times New Roman" w:eastAsia="宋体"/>
          <w:sz w:val="24"/>
        </w:rPr>
        <w:t>在两院合一之后，生意正红火，黄英却依着马子才的意思关停了菊业。值得琢磨的是，先前还说“自食其力不为贪”的一方，最终竟然站到了“士”的价值一方。黄英解释起来自己致富也更多的带上了士的那套价值，她说她说自己积财，是不想让后人讥笑陶渊明（也就是她丈夫“彭泽”）天生贫贱、百世翻不了身，她把“治生”巧妙地和文化、和先贤绑定起来，从而为之前的“治生”辩护。而到了最后，陶生纵酒，醉后化成菊花再没醒来；而“后女长成，嫁于世家。黄英终老，亦无他异”。</w:t>
      </w:r>
    </w:p>
    <w:p>
      <w:pPr>
        <w:spacing w:line="360" w:lineRule="auto" w:before="0" w:after="0"/>
        <w:ind w:firstLine="480"/>
      </w:pPr>
      <w:r>
        <w:rPr>
          <w:rFonts w:ascii="Times New Roman" w:hAnsi="Times New Roman" w:eastAsia="宋体"/>
          <w:sz w:val="24"/>
        </w:rPr>
        <w:t>正如前文所述，这个结局和解，学界恰有针锋相对之说，夏中权、李秋花等人认为张扬的是反传统精神[6]，而赵海霞等人则认为蒲松龄虽然认可了商人地位，但归根到底还是认为以儒为正统，结局的“弃商归儒”，正是把儒看为正道[7]。</w:t>
      </w:r>
    </w:p>
    <w:p>
      <w:pPr>
        <w:spacing w:line="360" w:lineRule="auto" w:before="0" w:after="0"/>
        <w:ind w:firstLine="480"/>
      </w:pPr>
      <w:r>
        <w:rPr>
          <w:rFonts w:ascii="Times New Roman" w:hAnsi="Times New Roman" w:eastAsia="宋体"/>
          <w:sz w:val="24"/>
        </w:rPr>
        <w:t>而本文更倾向于一种折中的判断：《黄英》的妥协，与其说是商反传统，或者说是儒最终为正道，不如说是雅与俗在儒家框架中重新做了一次调整。</w:t>
      </w:r>
    </w:p>
    <w:p>
      <w:pPr>
        <w:pStyle w:val="Heading2"/>
        <w:keepNext/>
      </w:pPr>
      <w:r>
        <w:rPr>
          <w:rFonts w:ascii="Times New Roman" w:hAnsi="Times New Roman" w:eastAsia="宋体"/>
          <w:b/>
          <w:sz w:val="28"/>
        </w:rPr>
        <w:t>（三）对照：蒲松龄的怜惜与分寸</w:t>
      </w:r>
    </w:p>
    <w:p>
      <w:pPr>
        <w:spacing w:line="360" w:lineRule="auto" w:before="0" w:after="0"/>
        <w:ind w:firstLine="480"/>
      </w:pPr>
      <w:r>
        <w:rPr>
          <w:rFonts w:ascii="Times New Roman" w:hAnsi="Times New Roman" w:eastAsia="宋体"/>
          <w:sz w:val="24"/>
        </w:rPr>
        <w:t>将两篇结局对照，落笔之处并不完全一样。《书痴》结于科举官场，留下了焚书之痛、报复之烈与离去之决绝；而《黄英》则以诙谐与迁就，归于由商返儒的寻常生活。</w:t>
      </w:r>
    </w:p>
    <w:p>
      <w:pPr>
        <w:spacing w:line="360" w:lineRule="auto" w:before="0" w:after="0"/>
        <w:ind w:firstLine="480"/>
      </w:pPr>
      <w:r>
        <w:rPr>
          <w:rFonts w:ascii="Times New Roman" w:hAnsi="Times New Roman" w:eastAsia="宋体"/>
          <w:sz w:val="24"/>
        </w:rPr>
        <w:t>可这两篇共同的底色是：“异”没有给痴人指出了一条逃离现实的道路，反而是把他们一一送回了人间的秩序。幻境之于现实，与其说是出口，不如说是一面镜子，既照见了痴之迷，更照见了世道不平。</w:t>
      </w:r>
    </w:p>
    <w:p>
      <w:pPr>
        <w:spacing w:line="360" w:lineRule="auto" w:before="0" w:after="0"/>
        <w:ind w:firstLine="480"/>
      </w:pPr>
      <w:r>
        <w:rPr>
          <w:rFonts w:ascii="Times New Roman" w:hAnsi="Times New Roman" w:eastAsia="宋体"/>
          <w:sz w:val="24"/>
        </w:rPr>
        <w:t>而“痴人”呢？我们可以从蒲松龄落笔的态度来推证。《聊斋自志》说“痴且不讳”[8]，自己便是一个一辈子困在科举之中的“痴人”，所以写痴人，他既有讽刺，更有怜悯，也带着几分自照和讥诮。对“异”，他亦是有保留的，他让“异”帮助痴看清现实，却又说颜如玉是“书之魔”，让陶生化菊而死。最后，对现实，他则带上了一些愤懑，“祖龙之虐”，锋刃所指的是焚书酷吏。基于此，我们其实难以用一个结论去概括这份结局，我们只能推测，与其说蒲松龄用异界否定了现实，不如说其用异界看见了现实与理想之间的难以填平的沟壑。</w:t>
      </w:r>
    </w:p>
    <w:p>
      <w:pPr>
        <w:pStyle w:val="Heading1"/>
        <w:keepNext/>
      </w:pPr>
      <w:r>
        <w:rPr>
          <w:rFonts w:ascii="Times New Roman" w:hAnsi="Times New Roman" w:eastAsia="宋体"/>
          <w:b/>
          <w:sz w:val="30"/>
        </w:rPr>
        <w:t>五、结语</w:t>
      </w:r>
    </w:p>
    <w:p>
      <w:pPr>
        <w:spacing w:line="360" w:lineRule="auto" w:before="0" w:after="0"/>
        <w:ind w:firstLine="480"/>
      </w:pPr>
      <w:r>
        <w:rPr>
          <w:rFonts w:ascii="Times New Roman" w:hAnsi="Times New Roman" w:eastAsia="宋体"/>
          <w:sz w:val="24"/>
        </w:rPr>
        <w:t>本文以《书痴》《黄英》对读，试图说明“痴”与“异”之间一条较少被前人贯通的线索：痴的偏离、异的纠偏、最终回归现实。郎玉柱的痴书与马子才痴菊，看似是文人纯粹的执念，但暴露出的却是士人与现实秩序中的脱节。颜如玉与菊精姐弟之“异”，也不是一味成全痴人之想，而是把痴人引回地面。最后，在结尾，《书痴》在收编中暗含正义的伸张，《黄英》在雅俗中做了重新的协调。</w:t>
      </w:r>
    </w:p>
    <w:p>
      <w:pPr>
        <w:spacing w:line="360" w:lineRule="auto" w:before="0" w:after="0"/>
        <w:ind w:firstLine="480"/>
      </w:pPr>
      <w:r>
        <w:rPr>
          <w:rFonts w:ascii="Times New Roman" w:hAnsi="Times New Roman" w:eastAsia="宋体"/>
          <w:sz w:val="24"/>
        </w:rPr>
        <w:t>最后，限于时间与篇幅，本文只能撷取《聊斋》中的两篇作为讨论，并不能推演成对于《聊斋》全书的准则，若是在以情为骨的篇章里，或许“异”与“痴”还需要另当别论。但本文想思考的是，蒲松龄写《聊斋》真正用心之处，或许不在营造一个可以安身的幻梦，而在借幻梦易碎，借“异”照出现实的清醒。就这一点说，《聊斋》之幻，未尝不是一种格外清醒的写实。</w:t>
      </w:r>
    </w:p>
    <w:p>
      <w:pPr>
        <w:pStyle w:val="Heading1"/>
        <w:jc w:val="center"/>
      </w:pPr>
      <w:r>
        <w:rPr>
          <w:rFonts w:ascii="Times New Roman" w:hAnsi="Times New Roman" w:eastAsia="宋体"/>
          <w:b/>
          <w:sz w:val="28"/>
        </w:rPr>
        <w:t>参考文献</w:t>
      </w:r>
    </w:p>
    <w:p>
      <w:pPr>
        <w:spacing w:line="360" w:lineRule="auto"/>
        <w:ind w:left="420" w:hanging="420"/>
      </w:pPr>
      <w:r>
        <w:rPr>
          <w:rFonts w:ascii="Times New Roman" w:hAnsi="Times New Roman" w:eastAsia="宋体"/>
          <w:sz w:val="24"/>
        </w:rPr>
        <w:t>[1] 鲁迅. 中国小说史略[M]. 北京: 人民文学出版社, 1973.</w:t>
      </w:r>
    </w:p>
    <w:p>
      <w:pPr>
        <w:spacing w:line="360" w:lineRule="auto"/>
        <w:ind w:left="420" w:hanging="420"/>
      </w:pPr>
      <w:r>
        <w:rPr>
          <w:rFonts w:ascii="Times New Roman" w:hAnsi="Times New Roman" w:eastAsia="宋体"/>
          <w:sz w:val="24"/>
        </w:rPr>
        <w:t>[2] 刘云汉. 浊世红尘中的纯真世界: 透视《聊斋志异》的痴人形象[J]. 名作欣赏, 2007(5).</w:t>
      </w:r>
    </w:p>
    <w:p>
      <w:pPr>
        <w:spacing w:line="360" w:lineRule="auto"/>
        <w:ind w:left="420" w:hanging="420"/>
      </w:pPr>
      <w:r>
        <w:rPr>
          <w:rFonts w:ascii="Times New Roman" w:hAnsi="Times New Roman" w:eastAsia="宋体"/>
          <w:sz w:val="24"/>
        </w:rPr>
        <w:t>[3] 陈葆文. 聊斋志异痴狂士人类型析论[M]. 台北: 里仁书局, 2005.</w:t>
      </w:r>
    </w:p>
    <w:p>
      <w:pPr>
        <w:spacing w:line="360" w:lineRule="auto"/>
        <w:ind w:left="420" w:hanging="420"/>
      </w:pPr>
      <w:r>
        <w:rPr>
          <w:rFonts w:ascii="Times New Roman" w:hAnsi="Times New Roman" w:eastAsia="宋体"/>
          <w:sz w:val="24"/>
        </w:rPr>
        <w:t>[4] 余习惠. “痴”:《聊斋志异》形象塑造的美学追求[J]. 株洲工学院学报, 2006, 20(1):78-80.</w:t>
      </w:r>
    </w:p>
    <w:p>
      <w:pPr>
        <w:spacing w:line="360" w:lineRule="auto"/>
        <w:ind w:left="420" w:hanging="420"/>
      </w:pPr>
      <w:r>
        <w:rPr>
          <w:rFonts w:ascii="Times New Roman" w:hAnsi="Times New Roman" w:eastAsia="宋体"/>
          <w:sz w:val="24"/>
        </w:rPr>
        <w:t>[5] Zeitlin, Judith T. Historian of the Strange: Pu Songling and the Chinese Classical Tale[M]. Stanford: Stanford University Press, 1993.</w:t>
      </w:r>
    </w:p>
    <w:p>
      <w:pPr>
        <w:spacing w:line="360" w:lineRule="auto"/>
        <w:ind w:left="420" w:hanging="420"/>
      </w:pPr>
      <w:r>
        <w:rPr>
          <w:rFonts w:ascii="Times New Roman" w:hAnsi="Times New Roman" w:eastAsia="宋体"/>
          <w:sz w:val="24"/>
        </w:rPr>
        <w:t>[6] 夏中权, 李秋花. 离经叛道·惊世骇俗: 谈《聊斋志异·黄英》的反传统观念[J]. 名作欣赏.</w:t>
      </w:r>
    </w:p>
    <w:p>
      <w:pPr>
        <w:spacing w:line="360" w:lineRule="auto"/>
        <w:ind w:left="420" w:hanging="420"/>
      </w:pPr>
      <w:r>
        <w:rPr>
          <w:rFonts w:ascii="Times New Roman" w:hAnsi="Times New Roman" w:eastAsia="宋体"/>
          <w:sz w:val="24"/>
        </w:rPr>
        <w:t>[7] 赵海霞. 论蒲松龄的儒者情怀: 以小说《聊斋志异·黄英》为中心的考察[J]. 西北农林科技大学学报(社会科学版), 2009, 9(6):138-141.</w:t>
      </w:r>
    </w:p>
    <w:p>
      <w:pPr>
        <w:spacing w:line="360" w:lineRule="auto"/>
        <w:ind w:left="420" w:hanging="420"/>
      </w:pPr>
      <w:r>
        <w:rPr>
          <w:rFonts w:ascii="Times New Roman" w:hAnsi="Times New Roman" w:eastAsia="宋体"/>
          <w:sz w:val="24"/>
        </w:rPr>
        <w:t>[8] 蒲松龄. 聊斋志异[M]. 于天池, 注; 孙通海, 于天池, 等译. 北京: 中华书局, 2015.</w:t>
      </w:r>
    </w:p>
    <w:p>
      <w:pPr>
        <w:spacing w:line="360" w:lineRule="auto"/>
        <w:ind w:left="420" w:hanging="420"/>
      </w:pPr>
      <w:r>
        <w:rPr>
          <w:rFonts w:ascii="Times New Roman" w:hAnsi="Times New Roman" w:eastAsia="宋体"/>
          <w:sz w:val="24"/>
        </w:rPr>
        <w:t>[9] Clunas, Craig. Superfluous Things: Material Culture and Social Status in Early Modern China[M]. Cambridge: Polity Press, 1991.</w:t>
      </w:r>
    </w:p>
    <w:p>
      <w:pPr>
        <w:pStyle w:val="Heading1"/>
        <w:jc w:val="center"/>
      </w:pPr>
      <w:r>
        <w:rPr>
          <w:rFonts w:ascii="Times New Roman" w:hAnsi="Times New Roman" w:eastAsia="宋体"/>
          <w:b/>
          <w:sz w:val="28"/>
        </w:rPr>
        <w:t>致    谢</w:t>
      </w:r>
    </w:p>
    <w:p>
      <w:pPr>
        <w:spacing w:line="360" w:lineRule="auto" w:before="0" w:after="0"/>
        <w:ind w:firstLine="480"/>
      </w:pPr>
      <w:r>
        <w:rPr>
          <w:rFonts w:ascii="Times New Roman" w:hAnsi="Times New Roman" w:eastAsia="宋体"/>
          <w:sz w:val="24"/>
        </w:rPr>
        <w:t>本文在选题、资料搜集与写作修改过程中得到了老师和同学的帮助，在此谨致谢忱。由于本人学识有限，文中疏漏之处，恳请各位老师批评指正。</w:t>
      </w:r>
    </w:p>
    <w:sectPr w:rsidR="00FC693F" w:rsidRPr="0006063C" w:rsidSect="00034616">
      <w:footerReference w:type="default" r:id="rId10"/>
      <w:pgSz w:w="11906" w:h="16838"/>
      <w:pgMar w:top="1417"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  \* ROMAN</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line="360" w:lineRule="auto"/>
      <w:outlineLvl w:val="0"/>
    </w:pPr>
    <w:rPr>
      <w:rFonts w:asciiTheme="majorHAnsi" w:eastAsiaTheme="majorEastAsia" w:hAnsiTheme="majorHAnsi" w:cstheme="majorBidi" w:ascii="Times New Roman" w:hAnsi="Times New Roman" w:eastAsia="宋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60" w:line="360" w:lineRule="auto"/>
      <w:outlineLvl w:val="1"/>
    </w:pPr>
    <w:rPr>
      <w:rFonts w:asciiTheme="majorHAnsi" w:eastAsiaTheme="majorEastAsia" w:hAnsiTheme="majorHAnsi" w:cstheme="majorBidi" w:ascii="Times New Roman" w:hAnsi="Times New Roman" w:eastAsia="宋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outlineLvl w:val="2"/>
    </w:pPr>
    <w:rPr>
      <w:rFonts w:asciiTheme="majorHAnsi" w:eastAsiaTheme="majorEastAsia" w:hAnsiTheme="majorHAnsi" w:cstheme="majorBidi" w:ascii="Times New Roman" w:hAnsi="Times New Roman"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Quote">
    <w:name w:val="Thesis Quote"/>
    <w:basedOn w:val="Normal"/>
    <w:pPr>
      <w:spacing w:line="360" w:lineRule="auto"/>
      <w:ind w:left="420" w:right="0"/>
    </w:pPr>
    <w:rPr>
      <w:sz w:val="24"/>
      <w:rFonts w:eastAsia="宋体" w:ascii="Times New Roman" w:hAnsi="Times New Roma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