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任务发布与管理规范</w:t>
      </w:r>
    </w:p>
    <w:p/>
    <w:p>
      <w:pPr>
        <w:pStyle w:val="ListBullet"/>
      </w:pPr>
      <w:r>
        <w:t>**版本**：v1.0（2026-10-20）</w:t>
      </w:r>
    </w:p>
    <w:p>
      <w:pPr>
        <w:pStyle w:val="ListBullet"/>
      </w:pPr>
      <w:r>
        <w:t>**状态**：正式版</w:t>
      </w:r>
    </w:p>
    <w:p>
      <w:pPr>
        <w:pStyle w:val="ListBullet"/>
      </w:pPr>
      <w:r>
        <w:t>**适用范围**：与光工作中台、工具层、大项目应用和经营实体应用中的任务发布、同步、办理与统计</w:t>
      </w:r>
    </w:p>
    <w:p>
      <w:pPr>
        <w:pStyle w:val="ListBullet"/>
      </w:pPr>
      <w:r>
        <w:t>**配套文件**：《任务接口合同-20261020正式版》《与光任务功能配置启动清单-20261020》</w:t>
      </w:r>
    </w:p>
    <w:p>
      <w:pPr>
        <w:pStyle w:val="ListBullet"/>
      </w:pPr>
      <w:r>
        <w:t>**通知规则**：任务通知遵循《统一信息通知与应用消息通道规范-20261020正式版》</w:t>
      </w:r>
    </w:p>
    <w:p/>
    <w:p>
      <w:pPr>
        <w:pStyle w:val="Heading1"/>
      </w:pPr>
      <w:r>
        <w:t>一、定位与建设边界</w:t>
      </w:r>
    </w:p>
    <w:p/>
    <w:p>
      <w:r>
        <w:t>任务管理是与光工作中台的统一任务汇总能力。与光工作中台提供发布入口、统一任务记录、权限校验、通知、状态闭环和统计；对应应用提供本应用任务看板、业务办理入口和结果反馈。</w:t>
      </w:r>
    </w:p>
    <w:p/>
    <w:p>
      <w:r>
        <w:t>任务必须归属一个应用，模块可以为空。工作台是跨应用任务的汇总层，应用是本应用任务的办理层。应用之间只能通过本规范配套的接口合同交换任务数据，不得直接读取其他应用数据库。</w:t>
      </w:r>
    </w:p>
    <w:p/>
    <w:p>
      <w:r>
        <w:t>本规范覆盖内部人员任务，不覆盖外部人员、跨组织外部任务、部门任务池、角色任务池、子任务和跨组织任务。</w:t>
      </w:r>
    </w:p>
    <w:p/>
    <w:p>
      <w:pPr>
        <w:pStyle w:val="Heading1"/>
      </w:pPr>
      <w:r>
        <w:t>二、与组织、应用和网盘规范的衔接</w:t>
      </w:r>
    </w:p>
    <w:p/>
    <w:p>
      <w:r>
        <w:t>1. **组织架构**：接收人来自与光工作中台统一组织架构；选人范围先按应用授权过滤，再按模块授权过滤。任务不建立第二套组织树。</w:t>
      </w:r>
    </w:p>
    <w:p>
      <w:r>
        <w:t>2. **应用架构**：任务应用范围覆盖工作台模块、工具层、大项目应用和经营实体应用。应用内看板只显示本应用相关任务。</w:t>
      </w:r>
    </w:p>
    <w:p>
      <w:r>
        <w:t>3. **角色逻辑**：组织角色决定默认管理范围，应用角色决定具体应用、项目、实体和模块权限。任务发布权限采用角色开关配置，不以职级硬编码。</w:t>
      </w:r>
    </w:p>
    <w:p>
      <w:r>
        <w:t>4. **双租户**：轻立方和与光人员可以在同一工作台内按授权协作；任务协作不等同于双租户主数据合并。</w:t>
      </w:r>
    </w:p>
    <w:p>
      <w:r>
        <w:t>5. **网盘**：任务附件归档到任务所属应用的正式网盘映射位置。工作台保存文件元数据、定位索引和权限日志，正式文件以飞书网盘文件为准，不建设独立对象存储。</w:t>
      </w:r>
    </w:p>
    <w:p/>
    <w:p>
      <w:pPr>
        <w:pStyle w:val="Heading1"/>
      </w:pPr>
      <w:r>
        <w:t>三、任务类型和任务关系</w:t>
      </w:r>
    </w:p>
    <w:p/>
    <w:p>
      <w:r>
        <w:t>任务类型固定为三类：</w:t>
      </w:r>
    </w:p>
    <w:p/>
    <w:p>
      <w:pPr>
        <w:ind w:left="216"/>
      </w:pPr>
      <w:r>
        <w:rPr>
          <w:rFonts w:ascii="Consolas" w:hAnsi="Consolas"/>
          <w:sz w:val="17"/>
        </w:rPr>
        <w:t>| 类型 | 适用范围 |</w:t>
      </w:r>
    </w:p>
    <w:p>
      <w:pPr>
        <w:ind w:left="216"/>
      </w:pPr>
      <w:r>
        <w:rPr>
          <w:rFonts w:ascii="Consolas" w:hAnsi="Consolas"/>
          <w:sz w:val="17"/>
        </w:rPr>
        <w:t>| --- | --- |</w:t>
      </w:r>
    </w:p>
    <w:p>
      <w:pPr>
        <w:ind w:left="216"/>
      </w:pPr>
      <w:r>
        <w:rPr>
          <w:rFonts w:ascii="Consolas" w:hAnsi="Consolas"/>
          <w:sz w:val="17"/>
        </w:rPr>
        <w:t>| 日常任务 | 职能部门日常工作、例行事项和临时工作安排 |</w:t>
      </w:r>
    </w:p>
    <w:p>
      <w:pPr>
        <w:ind w:left="216"/>
      </w:pPr>
      <w:r>
        <w:rPr>
          <w:rFonts w:ascii="Consolas" w:hAnsi="Consolas"/>
          <w:sz w:val="17"/>
        </w:rPr>
        <w:t>| 经营任务 | 经营实体指标、经营动作和经营事项 |</w:t>
      </w:r>
    </w:p>
    <w:p>
      <w:pPr>
        <w:ind w:left="216"/>
      </w:pPr>
      <w:r>
        <w:rPr>
          <w:rFonts w:ascii="Consolas" w:hAnsi="Consolas"/>
          <w:sz w:val="17"/>
        </w:rPr>
        <w:t>| 项目任务 | 一般项目或特大项目的推进、阶段性交付和项目事项 |</w:t>
      </w:r>
    </w:p>
    <w:p/>
    <w:p>
      <w:r>
        <w:t>管理工作归入职能部门的日常任务；协作不是独立任务类型。任务可以记录协作部门和协作人，协作部门/协作人是可选字段，用于发布时提出协作要求；不填写时由接收人自行决定是否协作。</w:t>
      </w:r>
    </w:p>
    <w:p/>
    <w:p>
      <w:pPr>
        <w:pStyle w:val="Heading1"/>
      </w:pPr>
      <w:r>
        <w:t>四、发布权限和任务方向</w:t>
      </w:r>
    </w:p>
    <w:p/>
    <w:p>
      <w:r>
        <w:t>1. 发布权限由工作台按应用角色配置，管理员可对应用、模块和角色分别开启或关闭。</w:t>
      </w:r>
    </w:p>
    <w:p>
      <w:r>
        <w:t>2. 观察人及只读人员不获得发布权限。</w:t>
      </w:r>
    </w:p>
    <w:p>
      <w:r>
        <w:t>3. 支持向下发布和同级协作发布；不支持向上发布。</w:t>
      </w:r>
    </w:p>
    <w:p>
      <w:r>
        <w:t>4. 项目团队成员之间按项目内平级协作处理。经营实体内，实体负责人（主理人）与实体员工（店员）按实体内平级协作处理。</w:t>
      </w:r>
    </w:p>
    <w:p>
      <w:r>
        <w:t>5. 发布人只能选择自己有权限触达的人员，且接收人必须通过应用和模块授权过滤。</w:t>
      </w:r>
    </w:p>
    <w:p/>
    <w:p>
      <w:pPr>
        <w:pStyle w:val="Heading1"/>
      </w:pPr>
      <w:r>
        <w:t>五、发布流程和字段</w:t>
      </w:r>
    </w:p>
    <w:p/>
    <w:p>
      <w:r>
        <w:t>发布流程固定为：**选择应用 → 选择模块（可不选）→ 选择接收人 → 填写任务 → 确认发布**。</w:t>
      </w:r>
    </w:p>
    <w:p/>
    <w:p>
      <w:pPr>
        <w:pStyle w:val="Heading2"/>
      </w:pPr>
      <w:r>
        <w:t>5.1 应用和模块</w:t>
      </w:r>
    </w:p>
    <w:p/>
    <w:p>
      <w:pPr>
        <w:pStyle w:val="ListBullet"/>
      </w:pPr>
      <w:r>
        <w:t>应用必选，单选；只展示发布人有发布权限的应用。</w:t>
      </w:r>
    </w:p>
    <w:p>
      <w:pPr>
        <w:pStyle w:val="ListBullet"/>
      </w:pPr>
      <w:r>
        <w:t>模块可选；不选时任务显示为“应用通用”。</w:t>
      </w:r>
    </w:p>
    <w:p>
      <w:pPr>
        <w:pStyle w:val="ListBullet"/>
      </w:pPr>
      <w:r>
        <w:t>选模块后，人员范围按模块授权二次过滤。</w:t>
      </w:r>
    </w:p>
    <w:p/>
    <w:p>
      <w:pPr>
        <w:pStyle w:val="Heading2"/>
      </w:pPr>
      <w:r>
        <w:t>5.2 接收人</w:t>
      </w:r>
    </w:p>
    <w:p/>
    <w:p>
      <w:pPr>
        <w:pStyle w:val="ListBullet"/>
      </w:pPr>
      <w:r>
        <w:t>按统一组织架构展示部门和人员，组织框架不因任务改变。</w:t>
      </w:r>
    </w:p>
    <w:p>
      <w:pPr>
        <w:pStyle w:val="ListBullet"/>
      </w:pPr>
      <w:r>
        <w:t>支持姓名、部门、角色搜索和多人选择。</w:t>
      </w:r>
    </w:p>
    <w:p>
      <w:pPr>
        <w:pStyle w:val="ListBullet"/>
      </w:pPr>
      <w:r>
        <w:t>一期最终必须选到具体人；多人发布为多条独立接收任务，每人独立办理和验收。</w:t>
      </w:r>
    </w:p>
    <w:p>
      <w:pPr>
        <w:pStyle w:val="ListBullet"/>
      </w:pPr>
      <w:r>
        <w:t>不支持“辐射下属”。发布给部门负责人后，是否向下安排或发起协作由接收人自行决定；后续任务通过正常发布流程建立，可关联来源任务。</w:t>
      </w:r>
    </w:p>
    <w:p/>
    <w:p>
      <w:pPr>
        <w:pStyle w:val="Heading2"/>
      </w:pPr>
      <w:r>
        <w:t>5.3 任务字段</w:t>
      </w:r>
    </w:p>
    <w:p/>
    <w:p>
      <w:pPr>
        <w:ind w:left="216"/>
      </w:pPr>
      <w:r>
        <w:rPr>
          <w:rFonts w:ascii="Consolas" w:hAnsi="Consolas"/>
          <w:sz w:val="17"/>
        </w:rPr>
        <w:t>| 字段 | 必填 | 规则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任务标题 | 是 | 简明描述任务目标 |</w:t>
      </w:r>
    </w:p>
    <w:p>
      <w:pPr>
        <w:ind w:left="216"/>
      </w:pPr>
      <w:r>
        <w:rPr>
          <w:rFonts w:ascii="Consolas" w:hAnsi="Consolas"/>
          <w:sz w:val="17"/>
        </w:rPr>
        <w:t>| 任务类型 | 是 | 日常任务、经营任务、项目任务 |</w:t>
      </w:r>
    </w:p>
    <w:p>
      <w:pPr>
        <w:ind w:left="216"/>
      </w:pPr>
      <w:r>
        <w:rPr>
          <w:rFonts w:ascii="Consolas" w:hAnsi="Consolas"/>
          <w:sz w:val="17"/>
        </w:rPr>
        <w:t>| 任务描述 | 是 | 工作内容、要求和交付标准 |</w:t>
      </w:r>
    </w:p>
    <w:p>
      <w:pPr>
        <w:ind w:left="216"/>
      </w:pPr>
      <w:r>
        <w:rPr>
          <w:rFonts w:ascii="Consolas" w:hAnsi="Consolas"/>
          <w:sz w:val="17"/>
        </w:rPr>
        <w:t>| 优先级 | 是 | 高、中、低 |</w:t>
      </w:r>
    </w:p>
    <w:p>
      <w:pPr>
        <w:ind w:left="216"/>
      </w:pPr>
      <w:r>
        <w:rPr>
          <w:rFonts w:ascii="Consolas" w:hAnsi="Consolas"/>
          <w:sz w:val="17"/>
        </w:rPr>
        <w:t>| 截止时间 | 是 | 使用统一时区并记录原始值 |</w:t>
      </w:r>
    </w:p>
    <w:p>
      <w:pPr>
        <w:ind w:left="216"/>
      </w:pPr>
      <w:r>
        <w:rPr>
          <w:rFonts w:ascii="Consolas" w:hAnsi="Consolas"/>
          <w:sz w:val="17"/>
        </w:rPr>
        <w:t>| 接收人 | 是 | 具体人员，可多人 |</w:t>
      </w:r>
    </w:p>
    <w:p>
      <w:pPr>
        <w:ind w:left="216"/>
      </w:pPr>
      <w:r>
        <w:rPr>
          <w:rFonts w:ascii="Consolas" w:hAnsi="Consolas"/>
          <w:sz w:val="17"/>
        </w:rPr>
        <w:t>| 协作部门/协作人 | 否 | 可多选，可附协作要求 |</w:t>
      </w:r>
    </w:p>
    <w:p>
      <w:pPr>
        <w:ind w:left="216"/>
      </w:pPr>
      <w:r>
        <w:rPr>
          <w:rFonts w:ascii="Consolas" w:hAnsi="Consolas"/>
          <w:sz w:val="17"/>
        </w:rPr>
        <w:t>| 附件 | 否 | 按应用网盘映射归档 |</w:t>
      </w:r>
    </w:p>
    <w:p>
      <w:pPr>
        <w:ind w:left="216"/>
      </w:pPr>
      <w:r>
        <w:rPr>
          <w:rFonts w:ascii="Consolas" w:hAnsi="Consolas"/>
          <w:sz w:val="17"/>
        </w:rPr>
        <w:t>| 是否需要反馈结果 | 是 | 默认需要 |</w:t>
      </w:r>
    </w:p>
    <w:p/>
    <w:p>
      <w:pPr>
        <w:pStyle w:val="Heading1"/>
      </w:pPr>
      <w:r>
        <w:t>六、任务看板和可见范围</w:t>
      </w:r>
    </w:p>
    <w:p/>
    <w:p>
      <w:pPr>
        <w:pStyle w:val="Heading2"/>
      </w:pPr>
      <w:r>
        <w:t>6.1 与光总看板</w:t>
      </w:r>
    </w:p>
    <w:p/>
    <w:p>
      <w:r>
        <w:t>总看板至少提供：我发布的、我负责的、与我协作的、应用筛选、模块筛选、任务类型筛选、状态筛选、截止时间筛选和关键词搜索。</w:t>
      </w:r>
    </w:p>
    <w:p/>
    <w:p>
      <w:r>
        <w:t>普通员工只看与自己相关的任务：自己发布、分配给自己、自己参与协作或由自己发起的关联任务。发布人、接收人和接收人所在部门负责人默认可查看任务详情；其他人员必须获得明确授权。</w:t>
      </w:r>
    </w:p>
    <w:p/>
    <w:p>
      <w:pPr>
        <w:pStyle w:val="Heading2"/>
      </w:pPr>
      <w:r>
        <w:t>6.2 应用内看板</w:t>
      </w:r>
    </w:p>
    <w:p/>
    <w:p>
      <w:r>
        <w:t>应用内只显示本应用相关任务，包括从与光工作中台发布到本应用人员的任务。应用内支持查看、接收确认、办理、提交反馈和结果；任务状态、反馈、验收和操作记录通过接口与总看板同步。</w:t>
      </w:r>
    </w:p>
    <w:p/>
    <w:p>
      <w:pPr>
        <w:pStyle w:val="Heading2"/>
      </w:pPr>
      <w:r>
        <w:t>6.3 菜单层级</w:t>
      </w:r>
    </w:p>
    <w:p/>
    <w:p>
      <w:r>
        <w:t>遵循四级菜单规则：</w:t>
      </w:r>
    </w:p>
    <w:p/>
    <w:p>
      <w:pPr>
        <w:ind w:left="360"/>
      </w:pPr>
      <w:r>
        <w:rPr>
          <w:rFonts w:ascii="Consolas" w:hAnsi="Consolas"/>
          <w:sz w:val="17"/>
        </w:rPr>
        <w:t>工作台（1级业务大类）</w:t>
      </w:r>
    </w:p>
    <w:p>
      <w:pPr>
        <w:ind w:left="360"/>
      </w:pPr>
      <w:r>
        <w:rPr>
          <w:rFonts w:ascii="Consolas" w:hAnsi="Consolas"/>
          <w:sz w:val="17"/>
        </w:rPr>
        <w:t>└── 任务看板（2级模块）</w:t>
      </w:r>
    </w:p>
    <w:p>
      <w:pPr>
        <w:ind w:left="360"/>
      </w:pPr>
      <w:r>
        <w:rPr>
          <w:rFonts w:ascii="Consolas" w:hAnsi="Consolas"/>
          <w:sz w:val="17"/>
        </w:rPr>
        <w:t xml:space="preserve">    ├── 我发布的（3级事项）</w:t>
      </w:r>
    </w:p>
    <w:p>
      <w:pPr>
        <w:ind w:left="360"/>
      </w:pPr>
      <w:r>
        <w:rPr>
          <w:rFonts w:ascii="Consolas" w:hAnsi="Consolas"/>
          <w:sz w:val="17"/>
        </w:rPr>
        <w:t xml:space="preserve">    ├── 我负责的（3级事项）</w:t>
      </w:r>
    </w:p>
    <w:p>
      <w:pPr>
        <w:ind w:left="360"/>
      </w:pPr>
      <w:r>
        <w:rPr>
          <w:rFonts w:ascii="Consolas" w:hAnsi="Consolas"/>
          <w:sz w:val="17"/>
        </w:rPr>
        <w:t xml:space="preserve">    ├── 与我协作的（3级事项）</w:t>
      </w:r>
    </w:p>
    <w:p>
      <w:pPr>
        <w:ind w:left="360"/>
      </w:pPr>
      <w:r>
        <w:rPr>
          <w:rFonts w:ascii="Consolas" w:hAnsi="Consolas"/>
          <w:sz w:val="17"/>
        </w:rPr>
        <w:t xml:space="preserve">    ├── 发布任务（3级事项）</w:t>
      </w:r>
    </w:p>
    <w:p>
      <w:pPr>
        <w:ind w:left="360"/>
      </w:pPr>
      <w:r>
        <w:rPr>
          <w:rFonts w:ascii="Consolas" w:hAnsi="Consolas"/>
          <w:sz w:val="17"/>
        </w:rPr>
        <w:t xml:space="preserve">    └── 任务统计（3级事项）</w:t>
      </w:r>
    </w:p>
    <w:p/>
    <w:p>
      <w:r>
        <w:t>应用内任务看板沿用对应应用已有菜单层级，不新增第五级菜单。</w:t>
      </w:r>
    </w:p>
    <w:p/>
    <w:p>
      <w:pPr>
        <w:pStyle w:val="Heading1"/>
      </w:pPr>
      <w:r>
        <w:t>七、状态和闭环</w:t>
      </w:r>
    </w:p>
    <w:p/>
    <w:p>
      <w:pPr>
        <w:pStyle w:val="Heading2"/>
      </w:pPr>
      <w:r>
        <w:t>7.1 状态</w:t>
      </w:r>
    </w:p>
    <w:p/>
    <w:p>
      <w:r>
        <w:t>`待接收`、`进行中`、`待验收`、`已完成`、`已驳回`、`已逾期`、`已取消`。</w:t>
      </w:r>
    </w:p>
    <w:p/>
    <w:p>
      <w:pPr>
        <w:pStyle w:val="Heading2"/>
      </w:pPr>
      <w:r>
        <w:t>7.2 状态规则</w:t>
      </w:r>
    </w:p>
    <w:p/>
    <w:p>
      <w:r>
        <w:t>1. 发布后为待接收；接收人确认收到后进入进行中。</w:t>
      </w:r>
    </w:p>
    <w:p>
      <w:r>
        <w:t>2. 接收人提交反馈和结果后进入待验收，提交内容可包含说明、完成时间和附件。</w:t>
      </w:r>
    </w:p>
    <w:p>
      <w:r>
        <w:t>3. 发布人确认通过后进入已完成；确认不通过必须填写原因，任务回到进行中并通知接收人。</w:t>
      </w:r>
    </w:p>
    <w:p>
      <w:r>
        <w:t>4. 超过截止时间未完成时标记已逾期，但不自动关闭；逾期后仍可补交并走验收闭环。</w:t>
      </w:r>
    </w:p>
    <w:p>
      <w:r>
        <w:t>5. 发布人可取消未完成任务，必须填写取消原因；取消后保留历史并通知接收人。</w:t>
      </w:r>
    </w:p>
    <w:p>
      <w:r>
        <w:t>6. 发布人可修改任务内容和截止时间，修改后通知接收人并保留修改前后值。接收人不能修改发布内容。</w:t>
      </w:r>
    </w:p>
    <w:p>
      <w:r>
        <w:t>7. 接收人离职或调岗后，未完成任务自动转派到其部门负责人，并记录自动转派原因、时间和原接收人。</w:t>
      </w:r>
    </w:p>
    <w:p/>
    <w:p>
      <w:pPr>
        <w:pStyle w:val="Heading1"/>
      </w:pPr>
      <w:r>
        <w:t>八、通知、附件和审计</w:t>
      </w:r>
    </w:p>
    <w:p/>
    <w:p>
      <w:pPr>
        <w:pStyle w:val="Heading2"/>
      </w:pPr>
      <w:r>
        <w:t>8.1 通知</w:t>
      </w:r>
    </w:p>
    <w:p/>
    <w:p>
      <w:pPr>
        <w:pStyle w:val="ListBullet"/>
      </w:pPr>
      <w:r>
        <w:t>发布时由任务所属应用的飞书机器人通知接收人，并进入与光统一通知中心；</w:t>
      </w:r>
    </w:p>
    <w:p>
      <w:pPr>
        <w:pStyle w:val="ListBullet"/>
      </w:pPr>
      <w:r>
        <w:t>截止日前一天提醒接收人；</w:t>
      </w:r>
    </w:p>
    <w:p>
      <w:pPr>
        <w:pStyle w:val="ListBullet"/>
      </w:pPr>
      <w:r>
        <w:t>超期后每天提醒接收人和发布人；</w:t>
      </w:r>
    </w:p>
    <w:p>
      <w:pPr>
        <w:pStyle w:val="ListBullet"/>
      </w:pPr>
      <w:r>
        <w:t>修改、提交、驳回、确认完成、取消和自动转派时通知相关人员；</w:t>
      </w:r>
    </w:p>
    <w:p>
      <w:pPr>
        <w:pStyle w:val="ListBullet"/>
      </w:pPr>
      <w:r>
        <w:t>员工点击任务通知后打开任务所属应用的具体办理页面；与光总通知只做汇总和跳转。</w:t>
      </w:r>
    </w:p>
    <w:p/>
    <w:p>
      <w:pPr>
        <w:pStyle w:val="Heading2"/>
      </w:pPr>
      <w:r>
        <w:t>8.2 附件</w:t>
      </w:r>
    </w:p>
    <w:p/>
    <w:p>
      <w:r>
        <w:t>任务附件和结果附件按所属应用映射到飞书网盘；中台保存任务附件的文件 ID、网盘链接、文件名、版本、上传人、上传时间和权限校验结果。附件下载必须执行任务可见范围校验并记录日志。</w:t>
      </w:r>
    </w:p>
    <w:p/>
    <w:p>
      <w:pPr>
        <w:pStyle w:val="Heading2"/>
      </w:pPr>
      <w:r>
        <w:t>8.3 审计</w:t>
      </w:r>
    </w:p>
    <w:p/>
    <w:p>
      <w:r>
        <w:t>任务详情提供不可删除的时间线，记录发布、接收确认、进度/反馈、修改、催办、提交、驳回及原因、验收、取消、逾期和转派。任务历史记录不得物理删除。</w:t>
      </w:r>
    </w:p>
    <w:p/>
    <w:p>
      <w:pPr>
        <w:pStyle w:val="Heading1"/>
      </w:pPr>
      <w:r>
        <w:t>九、统计报表</w:t>
      </w:r>
    </w:p>
    <w:p/>
    <w:p>
      <w:r>
        <w:t>提供详细统计报表，按人、部门、应用、模块、任务类型和时间段筛选，至少包括：任务总数、完成数、进行中数、逾期数、取消数、响应时长、平均完成时间、逾期率、验收通过率和驳回次数。统计权限遵循总看板权限，敏感明细只向授权管理者展示。</w:t>
      </w:r>
    </w:p>
    <w:p/>
    <w:p>
      <w:pPr>
        <w:pStyle w:val="Heading1"/>
      </w:pPr>
      <w:r>
        <w:t>十、一期验收标准</w:t>
      </w:r>
    </w:p>
    <w:p/>
    <w:p>
      <w:r>
        <w:t>1. 任务看板首端可见发布任务入口，应用必选、模块可选。</w:t>
      </w:r>
    </w:p>
    <w:p>
      <w:r>
        <w:t>2. 选人正确执行应用授权和模块授权过滤，无权限人员不可见、不可选。</w:t>
      </w:r>
    </w:p>
    <w:p>
      <w:r>
        <w:t>3. 三类任务可选，支持协作部门/协作人选填字段。</w:t>
      </w:r>
    </w:p>
    <w:p>
      <w:r>
        <w:t>4. 支持向下发布和同级协作，不支持向上发布，不提供辐射下属。</w:t>
      </w:r>
    </w:p>
    <w:p>
      <w:r>
        <w:t>5. 总看板与应用看板同步，应用内只显示本应用任务。</w:t>
      </w:r>
    </w:p>
    <w:p>
      <w:r>
        <w:t>6. 接收人可提交说明和附件，发布人可验收、驳回并填写原因。</w:t>
      </w:r>
    </w:p>
    <w:p>
      <w:r>
        <w:t>7. 支持修改、取消、逾期补交、自动转派和通知规则。</w:t>
      </w:r>
    </w:p>
    <w:p>
      <w:r>
        <w:t>8. 发布人、接收人和部门负责人可按规则查看，普通员工只查看与自己相关任务。</w:t>
      </w:r>
    </w:p>
    <w:p>
      <w:r>
        <w:t>9. 全部操作、状态变化、文件定位和下载记录可审计。</w:t>
      </w:r>
    </w:p>
    <w:p>
      <w:r>
        <w:t>10. 详细统计报表可按人、部门和时间段生成。</w:t>
      </w:r>
    </w:p>
    <w:p/>
    <w:p>
      <w:pPr>
        <w:pStyle w:val="Heading1"/>
      </w:pPr>
      <w:r>
        <w:t>十一、发布与实施</w:t>
      </w:r>
    </w:p>
    <w:p/>
    <w:p>
      <w:r>
        <w:t>本规范作为任务管理第四份正式规范发布。与光工作中台负责统一配置任务入口、权限开关、通知策略、状态机、统计口径和接口凭证；各应用按《任务接口合同-20261020正式版》完成任务看板、接收办理、结果反馈和事件回传。任何应用接入前必须完成接口联调、权限测试、幂等测试和审计记录核验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