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网盘映射管理与文件命名规范（2026-10-19 更新正式版）</w:t>
      </w:r>
    </w:p>
    <w:p/>
    <w:p>
      <w:pPr>
        <w:pStyle w:val="ListBullet"/>
      </w:pPr>
      <w:r>
        <w:t>**版本**：v3.1</w:t>
      </w:r>
    </w:p>
    <w:p>
      <w:pPr>
        <w:pStyle w:val="ListBullet"/>
      </w:pPr>
      <w:r>
        <w:t>**依据**：2026-10-18 更新版正式版及 2026-10-19 组织架构、应用架构调整</w:t>
      </w:r>
    </w:p>
    <w:p>
      <w:pPr>
        <w:pStyle w:val="ListBullet"/>
      </w:pPr>
      <w:r>
        <w:t>**状态**：正式版</w:t>
      </w:r>
    </w:p>
    <w:p/>
    <w:p>
      <w:pPr>
        <w:pStyle w:val="Heading1"/>
      </w:pPr>
      <w:r>
        <w:t>一、双租户根目录</w:t>
      </w:r>
    </w:p>
    <w:p/>
    <w:p>
      <w:pPr>
        <w:ind w:left="216"/>
      </w:pPr>
      <w:r>
        <w:rPr>
          <w:rFonts w:ascii="Consolas" w:hAnsi="Consolas"/>
          <w:sz w:val="17"/>
        </w:rPr>
        <w:t>| 租户 | 作用 | 规则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轻立方 | 公司组织架构唯一主数据、轻立方侧人员入口、工作台、工具和大项目 | 与光组织节点映射到轻立方经营部，不承载望向山正式档案 |</w:t>
      </w:r>
    </w:p>
    <w:p>
      <w:pPr>
        <w:ind w:left="216"/>
      </w:pPr>
      <w:r>
        <w:rPr>
          <w:rFonts w:ascii="Consolas" w:hAnsi="Consolas"/>
          <w:sz w:val="17"/>
        </w:rPr>
        <w:t>| 与光 | 承载望向山、特产店、旅拍馆三家经营实体应用及相关人员 | 望向山正式档案归档在与光“望向山中台网盘”；组织节点映射到轻立方经营部 |</w:t>
      </w:r>
    </w:p>
    <w:p/>
    <w:p>
      <w:r>
        <w:t>轻立方中台网盘为公司正式管理文件总归口；个人网盘仅存个人资料和灯塔知识库个人资料；企业历史档案库只进不出。两个租户共用同一文件编号序列。</w:t>
      </w:r>
    </w:p>
    <w:p/>
    <w:p>
      <w:r>
        <w:t>双租户数据合并仅创始人可执行，禁止其他人员执行跨租户主数据合并；同一与光工作中台内的跨租户协作允许轻立方和与光人员按角色、项目、实体或事项授权参与，不等同于数据合并。</w:t>
      </w:r>
    </w:p>
    <w:p/>
    <w:p>
      <w:pPr>
        <w:pStyle w:val="Heading1"/>
      </w:pPr>
      <w:r>
        <w:t>二、应用映射</w:t>
      </w:r>
    </w:p>
    <w:p/>
    <w:p>
      <w:pPr>
        <w:ind w:left="216"/>
      </w:pPr>
      <w:r>
        <w:rPr>
          <w:rFonts w:ascii="Consolas" w:hAnsi="Consolas"/>
          <w:sz w:val="17"/>
        </w:rPr>
        <w:t>| 应用 | 租户/组织归属 | 正式网盘路径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与光工作中台 | 轻立方 / 中台 | 中台网盘 / 综合部 / 行政人事部 |</w:t>
      </w:r>
    </w:p>
    <w:p>
      <w:pPr>
        <w:ind w:left="216"/>
      </w:pPr>
      <w:r>
        <w:rPr>
          <w:rFonts w:ascii="Consolas" w:hAnsi="Consolas"/>
          <w:sz w:val="17"/>
        </w:rPr>
        <w:t>| 灯塔知识库 | 轻立方 / 工具层 | 个人网盘 / 灯塔知识库（知识节点按授权） |</w:t>
      </w:r>
    </w:p>
    <w:p>
      <w:pPr>
        <w:ind w:left="216"/>
      </w:pPr>
      <w:r>
        <w:rPr>
          <w:rFonts w:ascii="Consolas" w:hAnsi="Consolas"/>
          <w:sz w:val="17"/>
        </w:rPr>
        <w:t>| 镇安生态产业协会管理中台 | 轻立方 / 业务部 / 项目部 | 中台网盘 / 业务部 / 项目部 / 镇安生态产业协会管理中台 |</w:t>
      </w:r>
    </w:p>
    <w:p>
      <w:pPr>
        <w:ind w:left="216"/>
      </w:pPr>
      <w:r>
        <w:rPr>
          <w:rFonts w:ascii="Consolas" w:hAnsi="Consolas"/>
          <w:sz w:val="17"/>
        </w:rPr>
        <w:t>| 镇安真味区域公用品牌项目管理中台 | 轻立方 / 业务部 / 项目部 | 中台网盘 / 业务部 / 项目部 / 镇安真味区域公用品牌项目管理中台 |</w:t>
      </w:r>
    </w:p>
    <w:p>
      <w:pPr>
        <w:ind w:left="216"/>
      </w:pPr>
      <w:r>
        <w:rPr>
          <w:rFonts w:ascii="Consolas" w:hAnsi="Consolas"/>
          <w:sz w:val="17"/>
        </w:rPr>
        <w:t>| 星窗工作台 | 轻立方 / 工具层 | 中台网盘 / 品牌部 / 星窗工作台 |</w:t>
      </w:r>
    </w:p>
    <w:p>
      <w:pPr>
        <w:ind w:left="216"/>
      </w:pPr>
      <w:r>
        <w:rPr>
          <w:rFonts w:ascii="Consolas" w:hAnsi="Consolas"/>
          <w:sz w:val="17"/>
        </w:rPr>
        <w:t>| 品牌生产中枢 | 轻立方 / 品牌部 | 中台网盘 / 品牌部 / 品牌生产中枢 |</w:t>
      </w:r>
    </w:p>
    <w:p>
      <w:pPr>
        <w:ind w:left="216"/>
      </w:pPr>
      <w:r>
        <w:rPr>
          <w:rFonts w:ascii="Consolas" w:hAnsi="Consolas"/>
          <w:sz w:val="17"/>
        </w:rPr>
        <w:t>| 望向山经营中台 | 与光租户承载；组织映射轻立方经营部 | 与光 / 望向山中台网盘 |</w:t>
      </w:r>
    </w:p>
    <w:p>
      <w:pPr>
        <w:ind w:left="216"/>
      </w:pPr>
      <w:r>
        <w:rPr>
          <w:rFonts w:ascii="Consolas" w:hAnsi="Consolas"/>
          <w:sz w:val="17"/>
        </w:rPr>
        <w:t>| 特产店经营中台（原称特产馆） | 与光租户承载；组织映射轻立方经营部 | 与光 / 特产店中台网盘（按实体建立） |</w:t>
      </w:r>
    </w:p>
    <w:p>
      <w:pPr>
        <w:ind w:left="216"/>
      </w:pPr>
      <w:r>
        <w:rPr>
          <w:rFonts w:ascii="Consolas" w:hAnsi="Consolas"/>
          <w:sz w:val="17"/>
        </w:rPr>
        <w:t>| 旅拍馆经营中台 | 与光租户承载；组织映射轻立方经营部 | 与光 / 旅拍馆中台网盘（按实体建立） |</w:t>
      </w:r>
    </w:p>
    <w:p>
      <w:pPr>
        <w:ind w:left="216"/>
      </w:pPr>
      <w:r>
        <w:rPr>
          <w:rFonts w:ascii="Consolas" w:hAnsi="Consolas"/>
          <w:sz w:val="17"/>
        </w:rPr>
        <w:t>| 旅行社经营中台 | 轻立方 / 经营部 | 中台网盘 / 业务部 / 经营部 / 旅行社 |</w:t>
      </w:r>
    </w:p>
    <w:p/>
    <w:p>
      <w:pPr>
        <w:pStyle w:val="Heading1"/>
      </w:pPr>
      <w:r>
        <w:t>三、中台网盘部门树</w:t>
      </w:r>
    </w:p>
    <w:p/>
    <w:p>
      <w:pPr>
        <w:ind w:left="360"/>
      </w:pPr>
      <w:r>
        <w:rPr>
          <w:rFonts w:ascii="Consolas" w:hAnsi="Consolas"/>
          <w:sz w:val="17"/>
        </w:rPr>
        <w:t>中台网盘</w:t>
      </w:r>
    </w:p>
    <w:p>
      <w:pPr>
        <w:ind w:left="360"/>
      </w:pPr>
      <w:r>
        <w:rPr>
          <w:rFonts w:ascii="Consolas" w:hAnsi="Consolas"/>
          <w:sz w:val="17"/>
        </w:rPr>
        <w:t>├── 1. 总经办</w:t>
      </w:r>
    </w:p>
    <w:p>
      <w:pPr>
        <w:ind w:left="360"/>
      </w:pPr>
      <w:r>
        <w:rPr>
          <w:rFonts w:ascii="Consolas" w:hAnsi="Consolas"/>
          <w:sz w:val="17"/>
        </w:rPr>
        <w:t>├── 2. 综合部</w:t>
      </w:r>
    </w:p>
    <w:p>
      <w:pPr>
        <w:ind w:left="360"/>
      </w:pPr>
      <w:r>
        <w:rPr>
          <w:rFonts w:ascii="Consolas" w:hAnsi="Consolas"/>
          <w:sz w:val="17"/>
        </w:rPr>
        <w:t>│   ├── 1. 行政人事部</w:t>
      </w:r>
    </w:p>
    <w:p>
      <w:pPr>
        <w:ind w:left="360"/>
      </w:pPr>
      <w:r>
        <w:rPr>
          <w:rFonts w:ascii="Consolas" w:hAnsi="Consolas"/>
          <w:sz w:val="17"/>
        </w:rPr>
        <w:t>│   ├── 2. 财务管理部</w:t>
      </w:r>
    </w:p>
    <w:p>
      <w:pPr>
        <w:ind w:left="360"/>
      </w:pPr>
      <w:r>
        <w:rPr>
          <w:rFonts w:ascii="Consolas" w:hAnsi="Consolas"/>
          <w:sz w:val="17"/>
        </w:rPr>
        <w:t>│   └── 3. 法务合规助手</w:t>
      </w:r>
    </w:p>
    <w:p>
      <w:pPr>
        <w:ind w:left="360"/>
      </w:pPr>
      <w:r>
        <w:rPr>
          <w:rFonts w:ascii="Consolas" w:hAnsi="Consolas"/>
          <w:sz w:val="17"/>
        </w:rPr>
        <w:t>├── 3. 业务部</w:t>
      </w:r>
    </w:p>
    <w:p>
      <w:pPr>
        <w:ind w:left="360"/>
      </w:pPr>
      <w:r>
        <w:rPr>
          <w:rFonts w:ascii="Consolas" w:hAnsi="Consolas"/>
          <w:sz w:val="17"/>
        </w:rPr>
        <w:t>│   ├── 1. 项目部</w:t>
      </w:r>
    </w:p>
    <w:p>
      <w:pPr>
        <w:ind w:left="360"/>
      </w:pPr>
      <w:r>
        <w:rPr>
          <w:rFonts w:ascii="Consolas" w:hAnsi="Consolas"/>
          <w:sz w:val="17"/>
        </w:rPr>
        <w:t>│   │   ├── 1. 订单库</w:t>
      </w:r>
    </w:p>
    <w:p>
      <w:pPr>
        <w:ind w:left="360"/>
      </w:pPr>
      <w:r>
        <w:rPr>
          <w:rFonts w:ascii="Consolas" w:hAnsi="Consolas"/>
          <w:sz w:val="17"/>
        </w:rPr>
        <w:t>│   │   ├── 2. 镇安生态产业协会管理中台</w:t>
      </w:r>
    </w:p>
    <w:p>
      <w:pPr>
        <w:ind w:left="360"/>
      </w:pPr>
      <w:r>
        <w:rPr>
          <w:rFonts w:ascii="Consolas" w:hAnsi="Consolas"/>
          <w:sz w:val="17"/>
        </w:rPr>
        <w:t>│   │   └── 3. 镇安真味区域公用品牌项目管理中台（特大项目专项）</w:t>
      </w:r>
    </w:p>
    <w:p>
      <w:pPr>
        <w:ind w:left="360"/>
      </w:pPr>
      <w:r>
        <w:rPr>
          <w:rFonts w:ascii="Consolas" w:hAnsi="Consolas"/>
          <w:sz w:val="17"/>
        </w:rPr>
        <w:t>│   └── 2. 经营部</w:t>
      </w:r>
    </w:p>
    <w:p>
      <w:pPr>
        <w:ind w:left="360"/>
      </w:pPr>
      <w:r>
        <w:rPr>
          <w:rFonts w:ascii="Consolas" w:hAnsi="Consolas"/>
          <w:sz w:val="17"/>
        </w:rPr>
        <w:t>│       └── 经营实体组织映射节点（正式档案按租户网盘归档）</w:t>
      </w:r>
    </w:p>
    <w:p>
      <w:pPr>
        <w:ind w:left="360"/>
      </w:pPr>
      <w:r>
        <w:rPr>
          <w:rFonts w:ascii="Consolas" w:hAnsi="Consolas"/>
          <w:sz w:val="17"/>
        </w:rPr>
        <w:t>└── 4. 品牌部</w:t>
      </w:r>
    </w:p>
    <w:p>
      <w:pPr>
        <w:ind w:left="360"/>
      </w:pPr>
      <w:r>
        <w:rPr>
          <w:rFonts w:ascii="Consolas" w:hAnsi="Consolas"/>
          <w:sz w:val="17"/>
        </w:rPr>
        <w:t xml:space="preserve">    ├── 1. 星窗工作台</w:t>
      </w:r>
    </w:p>
    <w:p>
      <w:pPr>
        <w:ind w:left="360"/>
      </w:pPr>
      <w:r>
        <w:rPr>
          <w:rFonts w:ascii="Consolas" w:hAnsi="Consolas"/>
          <w:sz w:val="17"/>
        </w:rPr>
        <w:t xml:space="preserve">    └── 2. 品牌生产中枢</w:t>
      </w:r>
    </w:p>
    <w:p/>
    <w:p>
      <w:pPr>
        <w:pStyle w:val="Heading1"/>
      </w:pPr>
      <w:r>
        <w:t>四、模块文件夹规则</w:t>
      </w:r>
    </w:p>
    <w:p/>
    <w:p>
      <w:r>
        <w:t>与光工作中台的行政人事模块目录保留原 12 个模块：办公行政管理、后勤保障、资产管理、会务外联、流程建设、企业文化、人力资源规划与基础管理、招聘与配置管理、培训与发展管理、绩效管理、薪酬福利与考勤管理、员工关系管理。望向山正式档案不适用轻立方中台网盘目录，统一归档到与光 / 望向山中台网盘。</w:t>
      </w:r>
    </w:p>
    <w:p/>
    <w:p>
      <w:r>
        <w:t>每个模块固定采用：</w:t>
      </w:r>
    </w:p>
    <w:p/>
    <w:p>
      <w:pPr>
        <w:ind w:left="360"/>
      </w:pPr>
      <w:r>
        <w:rPr>
          <w:rFonts w:ascii="Consolas" w:hAnsi="Consolas"/>
          <w:sz w:val="17"/>
        </w:rPr>
        <w:t>模块根目录</w:t>
      </w:r>
    </w:p>
    <w:p>
      <w:pPr>
        <w:ind w:left="360"/>
      </w:pPr>
      <w:r>
        <w:rPr>
          <w:rFonts w:ascii="Consolas" w:hAnsi="Consolas"/>
          <w:sz w:val="17"/>
        </w:rPr>
        <w:t>├── 0.〔模块名〕制度操作模板历史版本汇总</w:t>
      </w:r>
    </w:p>
    <w:p>
      <w:pPr>
        <w:ind w:left="360"/>
      </w:pPr>
      <w:r>
        <w:rPr>
          <w:rFonts w:ascii="Consolas" w:hAnsi="Consolas"/>
          <w:sz w:val="17"/>
        </w:rPr>
        <w:t>├── 1.〔事项名〕</w:t>
      </w:r>
    </w:p>
    <w:p>
      <w:pPr>
        <w:ind w:left="360"/>
      </w:pPr>
      <w:r>
        <w:rPr>
          <w:rFonts w:ascii="Consolas" w:hAnsi="Consolas"/>
          <w:sz w:val="17"/>
        </w:rPr>
        <w:t>├── 2.〔事项名〕</w:t>
      </w:r>
    </w:p>
    <w:p>
      <w:pPr>
        <w:ind w:left="360"/>
      </w:pPr>
      <w:r>
        <w:rPr>
          <w:rFonts w:ascii="Consolas" w:hAnsi="Consolas"/>
          <w:sz w:val="17"/>
        </w:rPr>
        <w:t>└── 生效中的正式管理文件（平铺）</w:t>
      </w:r>
    </w:p>
    <w:p/>
    <w:p>
      <w:r>
        <w:t>与光工作中台的“行政管理 → 流程建设 → 管理制度”是全公司正式文件唯一查阅入口，只提供查阅和下载。各模块的“管理文件”只作为 OA 同步文件的分类查阅、最新版确认、下载和归档入口，不直接上传文件。</w:t>
      </w:r>
    </w:p>
    <w:p/>
    <w:p>
      <w:pPr>
        <w:pStyle w:val="Heading1"/>
      </w:pPr>
      <w:r>
        <w:t>五、管理文件来源和发布</w:t>
      </w:r>
    </w:p>
    <w:p/>
    <w:p>
      <w:r>
        <w:t>管理文件类型只有四类：**管理制度、标准说明、纸质模板、电子模板**。</w:t>
      </w:r>
    </w:p>
    <w:p/>
    <w:p>
      <w:r>
        <w:t>1. 文件必须在飞书 OA 规范命名并作为审批附件提交；中台只校验名称、类型、版本号和附件完整性，不自动修改正式文件名。</w:t>
      </w:r>
    </w:p>
    <w:p>
      <w:r>
        <w:t>2. OA 审批通过后，附件同步到对应模块映射目录，默认成为发布版本；同一制度原则上一次审批只发布一个正式文件，修订说明纳入该制度附件并随同一版本发布。</w:t>
      </w:r>
    </w:p>
    <w:p>
      <w:r>
        <w:t>3. 新版本覆盖当前生效版本的展示位置，旧版自动移入 `0.〔模块名〕制度操作模板历史版本汇总`，历史文件只读保留。</w:t>
      </w:r>
    </w:p>
    <w:p>
      <w:r>
        <w:t>4. 发现命名、版本或附件不符合规范时，工作台标记异常并退回 OA 补正，不在网盘或中台静默改名。</w:t>
      </w:r>
    </w:p>
    <w:p>
      <w:r>
        <w:t>5. 只有创始人、模块负责人可以确认最终发布；模块经办人、模块负责人负责在 OA 发起或上传规范附件；其他人员只能查阅。下载权限需模块负责人点对点授权并记录日志。</w:t>
      </w:r>
    </w:p>
    <w:p>
      <w:r>
        <w:t>6. 网盘映射规则、应用架构规范和组织架构规范同步修订、同步审核、同步发布；每次发布记录版本、确认人、执行人和生效时间。</w:t>
      </w:r>
    </w:p>
    <w:p/>
    <w:p>
      <w:pPr>
        <w:pStyle w:val="Heading1"/>
      </w:pPr>
      <w:r>
        <w:t>六、文件命名</w:t>
      </w:r>
    </w:p>
    <w:p/>
    <w:p>
      <w:pPr>
        <w:ind w:left="216"/>
      </w:pPr>
      <w:r>
        <w:rPr>
          <w:rFonts w:ascii="Consolas" w:hAnsi="Consolas"/>
          <w:sz w:val="17"/>
        </w:rPr>
        <w:t>| 类型 | 规则 | 示例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文件夹 | `序号.名称`，编号固定不复用 | `1. 行政人事部` |</w:t>
      </w:r>
    </w:p>
    <w:p>
      <w:pPr>
        <w:ind w:left="216"/>
      </w:pPr>
      <w:r>
        <w:rPr>
          <w:rFonts w:ascii="Consolas" w:hAnsi="Consolas"/>
          <w:sz w:val="17"/>
        </w:rPr>
        <w:t>| 管理制度 | `制度名称-v主版本.次版本-生效日期` | `费用报销管理制度-v2.0-20261019` |</w:t>
      </w:r>
    </w:p>
    <w:p>
      <w:pPr>
        <w:ind w:left="216"/>
      </w:pPr>
      <w:r>
        <w:rPr>
          <w:rFonts w:ascii="Consolas" w:hAnsi="Consolas"/>
          <w:sz w:val="17"/>
        </w:rPr>
        <w:t>| 标准说明 | `事项名称-标准说明-v主版本.次版本-日期` | `入职办理-标准说明-v1.1-20261019` |</w:t>
      </w:r>
    </w:p>
    <w:p>
      <w:pPr>
        <w:ind w:left="216"/>
      </w:pPr>
      <w:r>
        <w:rPr>
          <w:rFonts w:ascii="Consolas" w:hAnsi="Consolas"/>
          <w:sz w:val="17"/>
        </w:rPr>
        <w:t>| 纸质模板 | `事项名称-纸质模板-v主版本.次版本-日期` | `用印申请-纸质模板-v1.0-20261019` |</w:t>
      </w:r>
    </w:p>
    <w:p>
      <w:pPr>
        <w:ind w:left="216"/>
      </w:pPr>
      <w:r>
        <w:rPr>
          <w:rFonts w:ascii="Consolas" w:hAnsi="Consolas"/>
          <w:sz w:val="17"/>
        </w:rPr>
        <w:t>| 电子模板 | `事项名称-电子模板-v主版本.次版本-日期` | `薪资核对-电子模板-v1.2-20261019` |</w:t>
      </w:r>
    </w:p>
    <w:p>
      <w:pPr>
        <w:ind w:left="216"/>
      </w:pPr>
      <w:r>
        <w:rPr>
          <w:rFonts w:ascii="Consolas" w:hAnsi="Consolas"/>
          <w:sz w:val="17"/>
        </w:rPr>
        <w:t>| 员工档案 | `序号.工号-姓名-文件类型-日期` | `1.YG001-员工入职审批-20261019` |</w:t>
      </w:r>
    </w:p>
    <w:p>
      <w:pPr>
        <w:ind w:left="216"/>
      </w:pPr>
      <w:r>
        <w:rPr>
          <w:rFonts w:ascii="Consolas" w:hAnsi="Consolas"/>
          <w:sz w:val="17"/>
        </w:rPr>
        <w:t>| 页面导出 | `事项名称-v主版本.次版本-日期` | `组织架构图-v1.0-20261019` |</w:t>
      </w:r>
    </w:p>
    <w:p/>
    <w:p>
      <w:r>
        <w:t>文件名不得带公司全称；主体简称统一使用“与光”，不得使用“宇光/雨光”等异名。版本号采用 `v主版本.次版本`，正式发布必须有生效日期。</w:t>
      </w:r>
    </w:p>
    <w:p/>
    <w:p>
      <w:pPr>
        <w:pStyle w:val="Heading1"/>
      </w:pPr>
      <w:r>
        <w:t>七、历史版本与审计</w:t>
      </w:r>
    </w:p>
    <w:p/>
    <w:p>
      <w:pPr>
        <w:pStyle w:val="ListBullet"/>
      </w:pPr>
      <w:r>
        <w:t>当前生效文件和历史文件均保留原始 OA 单据号、审批版本、发布人、确认人、同步时间和网盘链接。</w:t>
      </w:r>
    </w:p>
    <w:p>
      <w:pPr>
        <w:pStyle w:val="ListBullet"/>
      </w:pPr>
      <w:r>
        <w:t>历史文件不可覆盖、不可物理删除；撤回或废止时标记状态并移入历史汇总。</w:t>
      </w:r>
    </w:p>
    <w:p>
      <w:pPr>
        <w:pStyle w:val="ListBullet"/>
      </w:pPr>
      <w:r>
        <w:t>中台保存文件元数据、校验结果、定位索引和下载日志；正式文件以飞书网盘文件为准。</w:t>
      </w:r>
    </w:p>
    <w:p>
      <w:pPr>
        <w:pStyle w:val="ListBullet"/>
      </w:pPr>
      <w:r>
        <w:t>OA 附件原始内容纳入全量检索和问题分析；临时扫描副本完成后删除。</w:t>
      </w:r>
    </w:p>
    <w:p/>
    <w:p>
      <w:pPr>
        <w:pStyle w:val="Heading1"/>
      </w:pPr>
      <w:r>
        <w:t>八、菜单层级映射规则</w:t>
      </w:r>
    </w:p>
    <w:p/>
    <w:p>
      <w:pPr>
        <w:ind w:left="216"/>
      </w:pPr>
      <w:r>
        <w:rPr>
          <w:rFonts w:ascii="Consolas" w:hAnsi="Consolas"/>
          <w:sz w:val="17"/>
        </w:rPr>
        <w:t>| 层级 | 对应 | 点击行为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1 级 | 业务大类 | 只有大类名字，点击只折叠/展开 2 级菜单 |</w:t>
      </w:r>
    </w:p>
    <w:p>
      <w:pPr>
        <w:ind w:left="216"/>
      </w:pPr>
      <w:r>
        <w:rPr>
          <w:rFonts w:ascii="Consolas" w:hAnsi="Consolas"/>
          <w:sz w:val="17"/>
        </w:rPr>
        <w:t>| 2 级 | 模块工作 | 有下级时默认进入第一个 3 级，或其第一个 4 级；没有下级时进入独立 2 级页面 |</w:t>
      </w:r>
    </w:p>
    <w:p>
      <w:pPr>
        <w:ind w:left="216"/>
      </w:pPr>
      <w:r>
        <w:rPr>
          <w:rFonts w:ascii="Consolas" w:hAnsi="Consolas"/>
          <w:sz w:val="17"/>
        </w:rPr>
        <w:t>| 3 级 | 模块下事项 | 进入事项页面，承载列表、状态、筛选和 4 级入口 |</w:t>
      </w:r>
    </w:p>
    <w:p>
      <w:pPr>
        <w:ind w:left="216"/>
      </w:pPr>
      <w:r>
        <w:rPr>
          <w:rFonts w:ascii="Consolas" w:hAnsi="Consolas"/>
          <w:sz w:val="17"/>
        </w:rPr>
        <w:t>| 4 级 | 事项下科目 | 进入最小操作页面，禁止 5 级 |</w:t>
      </w:r>
    </w:p>
    <w:p/>
    <w:p>
      <w:r>
        <w:t>默认落地优先级为：第一个 3 级下的第一个 4 级 → 第一个 3 级 → 独立 2 级页面。已验证的单一工作页不为套层级强行拆分。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