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0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00000001">
      <w:pPr>
        <w:spacing w:before="0" w:after="480" w:line="408"/>
        <w:ind w:left="0" w:right="0"/>
        <w:jc w:val="center"/>
        <w:rPr>
          <w:color w:val="5a6472"/>
        </w:rPr>
      </w:pPr>
      <w:r>
        <w:rPr>
          <w:rFonts w:hint="eastAsia" w:ascii="SimHei" w:hAnsi="SimHei" w:eastAsia="SimHei" w:cs="SimHei"/>
          <w:color w:val="5a6472"/>
          <w:spacing w:val="120"/>
          <w:sz w:val="26"/>
        </w:rPr>
        <w:t>产品使用说明书</w:t>
      </w:r>
    </w:p>
    <w:p w14:paraId="00000002">
      <w:pPr>
        <w:spacing w:before="0" w:after="960" w:line="312"/>
        <w:ind w:left="0" w:right="0"/>
        <w:jc w:val="center"/>
        <w:rPr>
          <w:color w:val="1f3864"/>
        </w:rPr>
      </w:pPr>
      <w:r>
        <w:rPr>
          <w:rFonts w:hint="eastAsia" w:ascii="SimHei" w:hAnsi="SimHei" w:eastAsia="SimHei" w:cs="SimHei"/>
          <w:b w:val="1"/>
          <w:color w:val="1f3864"/>
          <w:sz w:val="64"/>
        </w:rPr>
        <w:t>众源感知解译工具</w:t>
      </w:r>
    </w:p>
    <w:tbl>
      <w:tblPr>
        <w:tblW w:w="5200" w:type="dxa"/>
        <w:jc w:val="center"/>
        <w:shd w:color="1a1a1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00"/>
        <w:gridCol w:w="2600"/>
      </w:tblGrid>
      <w:tr>
        <w:trPr/>
        <w:tc>
          <w:tcPr>
            <w:tcW w:w="2600" w:type="dxa"/>
            <w:tcBorders>
              <w:top w:val="none" w:sz="8"/>
              <w:left w:val="none" w:sz="8"/>
              <w:bottom w:val="single" w:color="c9d2de" w:sz="6"/>
              <w:right w:val="none" w:sz="8"/>
            </w:tcBorders>
            <w:tcMar>
              <w:top w:w="150" w:type="dxa"/>
              <w:left w:w="0" w:type="dxa"/>
              <w:bottom w:w="150" w:type="dxa"/>
              <w:right w:w="420" w:type="dxa"/>
            </w:tcMar>
            <w:vAlign w:val="center"/>
          </w:tcPr>
          <w:p w14:paraId="00000003">
            <w:pPr>
              <w:jc w:val="left"/>
              <w:rPr>
                <w:color w:val="5a6472"/>
              </w:rPr>
            </w:pPr>
            <w:r>
              <w:rPr>
                <w:rFonts w:hint="eastAsia" w:ascii="SimHei" w:hAnsi="SimHei" w:eastAsia="SimHei" w:cs="SimHei"/>
                <w:color w:val="5a6472"/>
                <w:sz w:val="22"/>
              </w:rPr>
              <w:t>文档版本</w:t>
            </w:r>
          </w:p>
        </w:tc>
        <w:tc>
          <w:tcPr>
            <w:tcW w:w="2600" w:type="dxa"/>
            <w:tcBorders>
              <w:top w:val="none" w:sz="8"/>
              <w:left w:val="none" w:sz="8"/>
              <w:bottom w:val="single" w:color="c9d2de" w:sz="6"/>
              <w:right w:val="none" w:sz="8"/>
            </w:tcBorders>
            <w:tcMar>
              <w:top w:w="150" w:type="dxa"/>
              <w:left w:w="180" w:type="dxa"/>
              <w:bottom w:w="150" w:type="dxa"/>
              <w:right w:w="0" w:type="dxa"/>
            </w:tcMar>
            <w:vAlign w:val="center"/>
          </w:tcPr>
          <w:p w14:paraId="00000004">
            <w:pPr>
              <w:jc w:val="center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2"/>
              </w:rPr>
              <w:t>v0.5.4</w:t>
            </w:r>
          </w:p>
        </w:tc>
      </w:tr>
      <w:tr>
        <w:trPr/>
        <w:tc>
          <w:tcPr>
            <w:tcW w:w="2600" w:type="dxa"/>
            <w:tcBorders>
              <w:top w:val="none" w:sz="8"/>
              <w:left w:val="none" w:sz="8"/>
              <w:bottom w:val="single" w:color="c9d2de" w:sz="6"/>
              <w:right w:val="none" w:sz="8"/>
            </w:tcBorders>
            <w:tcMar>
              <w:top w:w="150" w:type="dxa"/>
              <w:left w:w="0" w:type="dxa"/>
              <w:bottom w:w="150" w:type="dxa"/>
              <w:right w:w="420" w:type="dxa"/>
            </w:tcMar>
            <w:vAlign w:val="center"/>
          </w:tcPr>
          <w:p w14:paraId="00000005">
            <w:pPr>
              <w:jc w:val="left"/>
              <w:rPr>
                <w:color w:val="5a6472"/>
              </w:rPr>
            </w:pPr>
            <w:r>
              <w:rPr>
                <w:rFonts w:hint="eastAsia" w:ascii="SimHei" w:hAnsi="SimHei" w:eastAsia="SimHei" w:cs="SimHei"/>
                <w:color w:val="5a6472"/>
                <w:sz w:val="22"/>
              </w:rPr>
              <w:t>编制日期</w:t>
            </w:r>
          </w:p>
        </w:tc>
        <w:tc>
          <w:tcPr>
            <w:tcW w:w="2600" w:type="dxa"/>
            <w:tcBorders>
              <w:top w:val="none" w:sz="8"/>
              <w:left w:val="none" w:sz="8"/>
              <w:bottom w:val="single" w:color="c9d2de" w:sz="6"/>
              <w:right w:val="none" w:sz="8"/>
            </w:tcBorders>
            <w:tcMar>
              <w:top w:w="150" w:type="dxa"/>
              <w:left w:w="180" w:type="dxa"/>
              <w:bottom w:w="150" w:type="dxa"/>
              <w:right w:w="0" w:type="dxa"/>
            </w:tcMar>
            <w:vAlign w:val="center"/>
          </w:tcPr>
          <w:p w14:paraId="00000006">
            <w:pPr>
              <w:jc w:val="center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2026 年 10 月</w:t>
            </w:r>
          </w:p>
        </w:tc>
      </w:tr>
    </w:tbl>
    <w:p w14:paraId="00000007">
      <w:pPr>
        <w:sectPr>
          <w:type w:val="nextPage"/>
          <w:pgSz w:w="11906" w:h="16838"/>
          <w:pgMar w:top="1440" w:right="1800" w:bottom="1440" w:left="1800" w:header="851" w:footer="992" w:gutter="0"/>
          <w:vAlign w:val="center"/>
        </w:sectPr>
      </w:pPr>
    </w:p>
    <w:p w14:paraId="00000008">
      <w:pPr>
        <w:spacing w:before="240" w:after="120"/>
      </w:pPr>
      <w:r>
        <w:rPr>
          <w:rFonts w:hint="eastAsia"/>
          <w:b w:val="1"/>
        </w:rPr>
        <w:t>目　　录</w:t>
      </w:r>
    </w:p>
    <w:p w14:paraId="00000009">
      <w:pPr>
        <w:pStyle w:val="000002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一、产品概述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A">
      <w:pPr>
        <w:pStyle w:val="000002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二、运行环境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B">
      <w:pPr>
        <w:pStyle w:val="000002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三、功能组成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C">
      <w:pPr>
        <w:pStyle w:val="000003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"section-3-1" </w:instrText>
      </w:r>
      <w:r>
        <w:fldChar w:fldCharType="separate" w:fldLock="0" w:dirty="0"/>
      </w:r>
      <w:r>
        <w:rPr>
          <w:rFonts w:hint="eastAsia"/>
        </w:rPr>
        <w:t>3.1　车载影像提取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D">
      <w:pPr>
        <w:pStyle w:val="000003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"section-3-2" </w:instrText>
      </w:r>
      <w:r>
        <w:fldChar w:fldCharType="separate" w:fldLock="0" w:dirty="0"/>
      </w:r>
      <w:r>
        <w:rPr>
          <w:rFonts w:hint="eastAsia"/>
        </w:rPr>
        <w:t>3.2　正射影像提取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E">
      <w:pPr>
        <w:pStyle w:val="000003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"section-3-3" </w:instrText>
      </w:r>
      <w:r>
        <w:fldChar w:fldCharType="separate" w:fldLock="0" w:dirty="0"/>
      </w:r>
      <w:r>
        <w:rPr>
          <w:rFonts w:hint="eastAsia"/>
        </w:rPr>
        <w:t>3.3　变化比对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F">
      <w:pPr>
        <w:pStyle w:val="000002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四、界面功能说明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0">
      <w:pPr>
        <w:pStyle w:val="000002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五、技术特点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1">
      <w:pPr>
        <w:pStyle w:val="000002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六、性能参考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2">
      <w:pPr>
        <w:pStyle w:val="000002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七、常见问题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00000013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00000014">
      <w:pPr>
        <w:pStyle w:val="000004"/>
        <w:keepNext w:val="1"/>
        <w:keepLines w:val="1"/>
        <w:pageBreakBefore w:val="1"/>
        <w:pBdr>
          <w:bottom w:val="single" w:color="1f3864" w:sz="12" w:space="6"/>
        </w:pBdr>
        <w:spacing w:before="0" w:beforeAutospacing="1" w:after="270" w:afterAutospacing="1" w:line="408"/>
        <w:ind w:left="0" w:right="0"/>
        <w:outlineLvl w:val="0"/>
        <w:rPr>
          <w:color w:val="1f3864"/>
          <w:kern w:val="44"/>
          <w:sz w:val="44"/>
          <w:szCs w:val="44"/>
        </w:rPr>
      </w:pPr>
      <w:bookmarkStart w:id="1" w:name="section-1"/>
      <w:r>
        <w:rPr>
          <w:rFonts w:hint="eastAsia" w:ascii="SimHei" w:hAnsi="SimHei" w:eastAsia="SimHei" w:cs="SimHei"/>
          <w:b w:val="1"/>
          <w:color w:val="1f3864"/>
          <w:sz w:val="32"/>
        </w:rPr>
        <w:t>一、产品概述</w:t>
      </w:r>
      <w:bookmarkEnd w:id="1"/>
    </w:p>
    <w:p w14:paraId="00000015">
      <w:pPr>
        <w:spacing w:before="0" w:after="150" w:line="40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众源感知解译工具面向城市基础设施巡检与地图更新业务，对巡检车辆采集的车载全景影像、位姿轨迹以及无人机正射影像进行自动解译，输出可直接叠加既有 GIS 系统的矢量成果，并提供与存量地图的要素级变化比对能力。</w:t>
      </w:r>
    </w:p>
    <w:p w14:paraId="00000016">
      <w:pPr>
        <w:spacing w:before="0" w:after="150" w:line="40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工具的核心价值体现在以下方面：</w:t>
      </w:r>
    </w:p>
    <w:p w14:paraId="00000017">
      <w:pPr>
        <w:numPr>
          <w:ilvl w:val="0"/>
          <w:numId w:val="1"/>
        </w:numPr>
        <w:spacing w:before="0" w:after="90" w:line="408"/>
        <w:ind w:left="576" w:right="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以自动解译替代人工判读与手动矢量化，显著缩短单期数据处理周期；</w:t>
      </w:r>
    </w:p>
    <w:p w14:paraId="00000018">
      <w:pPr>
        <w:numPr>
          <w:ilvl w:val="0"/>
          <w:numId w:val="1"/>
        </w:numPr>
        <w:spacing w:before="0" w:after="90" w:line="408"/>
        <w:ind w:left="576" w:right="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检测与提取规则统一固化在程序内，保障不同批次、不同作业人员成果口径一致；</w:t>
      </w:r>
    </w:p>
    <w:p w14:paraId="00000019">
      <w:pPr>
        <w:numPr>
          <w:ilvl w:val="0"/>
          <w:numId w:val="1"/>
        </w:numPr>
        <w:spacing w:before="0" w:after="90" w:line="408"/>
        <w:ind w:left="576" w:right="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成果采用 SHP / File GDB 等通用格式，坐标系与存量成果保持一致，可直接入库；</w:t>
      </w:r>
    </w:p>
    <w:p w14:paraId="0000001A">
      <w:pPr>
        <w:numPr>
          <w:ilvl w:val="0"/>
          <w:numId w:val="1"/>
        </w:numPr>
        <w:spacing w:before="0" w:after="90" w:line="408"/>
        <w:ind w:left="576" w:right="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全部计算在用户本机完成，数据不出内网，满足测绘数据保密要求。</w:t>
      </w:r>
    </w:p>
    <w:p w14:paraId="0000001B">
      <w:pPr>
        <w:pStyle w:val="000004"/>
        <w:keepNext w:val="1"/>
        <w:keepLines w:val="1"/>
        <w:pBdr>
          <w:bottom w:val="single" w:color="1f3864" w:sz="12" w:space="6"/>
        </w:pBdr>
        <w:spacing w:before="510" w:beforeAutospacing="1" w:after="270" w:afterAutospacing="1" w:line="408"/>
        <w:ind w:left="0" w:right="0"/>
        <w:outlineLvl w:val="0"/>
        <w:rPr>
          <w:color w:val="1f3864"/>
          <w:kern w:val="44"/>
          <w:sz w:val="44"/>
          <w:szCs w:val="44"/>
        </w:rPr>
      </w:pPr>
      <w:bookmarkStart w:id="2" w:name="section-2"/>
      <w:r>
        <w:rPr>
          <w:rFonts w:hint="eastAsia" w:ascii="SimHei" w:hAnsi="SimHei" w:eastAsia="SimHei" w:cs="SimHei"/>
          <w:b w:val="1"/>
          <w:color w:val="1f3864"/>
          <w:sz w:val="32"/>
        </w:rPr>
        <w:t>二、运行环境</w:t>
      </w:r>
      <w:bookmarkEnd w:id="2"/>
    </w:p>
    <w:tbl>
      <w:tblPr>
        <w:tblW w:w="8306" w:type="dxa"/>
        <w:shd w:color="1a1a1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25"/>
        <w:gridCol w:w="5981"/>
      </w:tblGrid>
      <w:tr>
        <w:trPr>
          <w:tblHeader w:val="1"/>
        </w:trPr>
        <w:tc>
          <w:tcPr>
            <w:tcW w:w="2325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1C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项目</w:t>
            </w:r>
          </w:p>
        </w:tc>
        <w:tc>
          <w:tcPr>
            <w:tcW w:w="5981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1D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要求</w:t>
            </w:r>
          </w:p>
        </w:tc>
      </w:tr>
      <w:tr>
        <w:trPr/>
        <w:tc>
          <w:tcPr>
            <w:tcW w:w="2325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1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操作系统</w:t>
            </w:r>
          </w:p>
        </w:tc>
        <w:tc>
          <w:tcPr>
            <w:tcW w:w="5981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1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Windows 10/11 x64；macOS 12 及以上（Apple Silicon）</w:t>
            </w:r>
          </w:p>
        </w:tc>
      </w:tr>
      <w:tr>
        <w:trPr/>
        <w:tc>
          <w:tcPr>
            <w:tcW w:w="2325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2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硬件</w:t>
            </w:r>
          </w:p>
        </w:tc>
        <w:tc>
          <w:tcPr>
            <w:tcW w:w="5981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2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多核 CPU，内存 8 GB 及以上；无需独立显卡，无需联网</w:t>
            </w:r>
          </w:p>
        </w:tc>
      </w:tr>
      <w:tr>
        <w:trPr/>
        <w:tc>
          <w:tcPr>
            <w:tcW w:w="2325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2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依赖组件</w:t>
            </w:r>
          </w:p>
        </w:tc>
        <w:tc>
          <w:tcPr>
            <w:tcW w:w="5981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2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无需安装，压缩包内含全部运行环境</w:t>
            </w:r>
          </w:p>
        </w:tc>
      </w:tr>
    </w:tbl>
    <w:p w14:paraId="00000024">
      <w:pPr>
        <w:spacing w:before="0" w:after="150" w:line="40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部署方式：解压对应平台的压缩包。Windows 下双击 </w:t>
      </w:r>
      <w:r>
        <w:rPr>
          <w:rFonts w:ascii="SimHei" w:hAnsi="SimHei" w:eastAsia="SimHei" w:cs="SimHei"/>
          <w:b w:val="1"/>
          <w:color w:val="1a1a1a"/>
          <w:sz w:val="24"/>
        </w:rPr>
        <w:t>AIVisionTool.exe</w:t>
      </w:r>
      <w:r>
        <w:rPr>
          <w:rFonts w:hint="eastAsia" w:ascii="SimSun" w:hAnsi="SimSun" w:eastAsia="SimSun" w:cs="SimSun"/>
          <w:color w:val="1a1a1a"/>
          <w:sz w:val="24"/>
        </w:rPr>
        <w:t xml:space="preserve">；macOS 下双击 </w:t>
      </w:r>
      <w:r>
        <w:rPr>
          <w:rFonts w:ascii="SimHei" w:hAnsi="SimHei" w:eastAsia="SimHei" w:cs="SimHei"/>
          <w:b w:val="1"/>
          <w:color w:val="1a1a1a"/>
          <w:sz w:val="24"/>
        </w:rPr>
        <w:t>AIVisionTool.app</w:t>
      </w:r>
      <w:r>
        <w:rPr>
          <w:rFonts w:hint="eastAsia" w:ascii="SimSun" w:hAnsi="SimSun" w:eastAsia="SimSun" w:cs="SimSun"/>
          <w:color w:val="1a1a1a"/>
          <w:sz w:val="24"/>
        </w:rPr>
        <w:t>（首次打开如出现安全提示，请右键选择「打开」）。</w:t>
      </w:r>
    </w:p>
    <w:p w14:paraId="00000025">
      <w:pPr>
        <w:pStyle w:val="000004"/>
        <w:keepNext w:val="1"/>
        <w:keepLines w:val="1"/>
        <w:pBdr>
          <w:bottom w:val="single" w:color="1f3864" w:sz="12" w:space="6"/>
        </w:pBdr>
        <w:spacing w:before="510" w:beforeAutospacing="1" w:after="270" w:afterAutospacing="1" w:line="408"/>
        <w:ind w:left="0" w:right="0"/>
        <w:outlineLvl w:val="0"/>
        <w:rPr>
          <w:color w:val="1f3864"/>
          <w:kern w:val="44"/>
          <w:sz w:val="44"/>
          <w:szCs w:val="44"/>
        </w:rPr>
      </w:pPr>
      <w:bookmarkStart w:id="3" w:name="section-3"/>
      <w:r>
        <w:rPr>
          <w:rFonts w:hint="eastAsia" w:ascii="SimHei" w:hAnsi="SimHei" w:eastAsia="SimHei" w:cs="SimHei"/>
          <w:b w:val="1"/>
          <w:color w:val="1f3864"/>
          <w:sz w:val="32"/>
        </w:rPr>
        <w:t>三、功能组成</w:t>
      </w:r>
      <w:bookmarkEnd w:id="3"/>
    </w:p>
    <w:p w14:paraId="00000026">
      <w:pPr>
        <w:spacing w:before="0" w:after="150" w:line="40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主界面由左侧功能导航与三个工作台组成：车载影像提取、正射影像提取、变化比对。每个工作台顶部提供分步操作指引，按「选择数据 → 选择输出 → 开始处理」的顺序操作即可完成一次任务。</w:t>
      </w:r>
    </w:p>
    <w:p w14:paraId="00000027">
      <w:pPr>
        <w:pStyle w:val="000008"/>
        <w:keepNext w:val="1"/>
        <w:keepLines w:val="1"/>
        <w:spacing w:before="330" w:beforeAutospacing="1" w:after="150" w:afterAutospacing="1" w:line="408"/>
        <w:ind w:left="0" w:right="0"/>
        <w:outlineLvl w:val="1"/>
        <w:rPr>
          <w:color w:val="1a1a1a"/>
          <w:sz w:val="32"/>
          <w:szCs w:val="32"/>
        </w:rPr>
      </w:pPr>
      <w:bookmarkStart w:id="4" w:name="section-3-1"/>
      <w:r>
        <w:rPr>
          <w:rFonts w:hint="eastAsia" w:ascii="SimHei" w:hAnsi="SimHei" w:eastAsia="SimHei" w:cs="SimHei"/>
          <w:b w:val="1"/>
          <w:color w:val="1a1a1a"/>
          <w:sz w:val="27"/>
        </w:rPr>
        <w:t>3.1　车载影像提取</w:t>
      </w:r>
      <w:bookmarkEnd w:id="4"/>
    </w:p>
    <w:p w14:paraId="00000028">
      <w:pPr>
        <w:spacing w:before="0" w:after="150" w:line="40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面向巡检车辆采集的车载全景影像与位姿轨迹，自动完成目标检测、车道线提取与地理参考。</w:t>
      </w:r>
    </w:p>
    <w:tbl>
      <w:tblPr>
        <w:tblW w:w="8306" w:type="dxa"/>
        <w:shd w:color="1a1a1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27"/>
        <w:gridCol w:w="3654"/>
        <w:gridCol w:w="2825"/>
      </w:tblGrid>
      <w:tr>
        <w:trPr>
          <w:tblHeader w:val="1"/>
        </w:trPr>
        <w:tc>
          <w:tcPr>
            <w:tcW w:w="1827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29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数据</w:t>
            </w:r>
          </w:p>
        </w:tc>
        <w:tc>
          <w:tcPr>
            <w:tcW w:w="3654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2A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内容</w:t>
            </w:r>
          </w:p>
        </w:tc>
        <w:tc>
          <w:tcPr>
            <w:tcW w:w="2825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2B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说明</w:t>
            </w:r>
          </w:p>
        </w:tc>
      </w:tr>
      <w:tr>
        <w:trPr/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2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照片目录</w:t>
            </w:r>
          </w:p>
        </w:tc>
        <w:tc>
          <w:tcPr>
            <w:tcW w:w="3654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2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全景相机按相机编号（CAM_x）组织的 JPG 影像</w:t>
            </w:r>
          </w:p>
        </w:tc>
        <w:tc>
          <w:tcPr>
            <w:tcW w:w="2825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2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7360×4912 高分辨率</w:t>
            </w:r>
          </w:p>
        </w:tc>
      </w:tr>
      <w:tr>
        <w:trPr/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2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轨迹目录</w:t>
            </w:r>
          </w:p>
        </w:tc>
        <w:tc>
          <w:tcPr>
            <w:tcW w:w="3654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3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与影像同批次采集的位姿文件（.hdi 等）</w:t>
            </w:r>
          </w:p>
        </w:tc>
        <w:tc>
          <w:tcPr>
            <w:tcW w:w="2825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3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提供曝光瞬间的位置、姿态、高程</w:t>
            </w:r>
          </w:p>
        </w:tc>
      </w:tr>
    </w:tbl>
    <w:p w14:paraId="00000032">
      <w:pPr>
        <w:spacing w:before="0" w:after="150" w:line="40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照片目录与轨迹目录须按批次同名配对（如 20260327_1-2（东湖路））。工具启动扫描后自动报告可配对影像数量，无法配对的影像在日志中提示。</w:t>
      </w:r>
    </w:p>
    <w:tbl>
      <w:tblPr>
        <w:tblW w:w="8306" w:type="dxa"/>
        <w:shd w:color="1a1a1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27"/>
        <w:gridCol w:w="1495"/>
        <w:gridCol w:w="4984"/>
      </w:tblGrid>
      <w:tr>
        <w:trPr>
          <w:tblHeader w:val="1"/>
        </w:trPr>
        <w:tc>
          <w:tcPr>
            <w:tcW w:w="1827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33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参数</w:t>
            </w:r>
          </w:p>
        </w:tc>
        <w:tc>
          <w:tcPr>
            <w:tcW w:w="1495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34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默认值</w:t>
            </w:r>
          </w:p>
        </w:tc>
        <w:tc>
          <w:tcPr>
            <w:tcW w:w="4984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35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说明</w:t>
            </w:r>
          </w:p>
        </w:tc>
      </w:tr>
      <w:tr>
        <w:trPr/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3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置信度阈值</w:t>
            </w:r>
          </w:p>
        </w:tc>
        <w:tc>
          <w:tcPr>
            <w:tcW w:w="1495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37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0.15</w:t>
            </w:r>
          </w:p>
        </w:tc>
        <w:tc>
          <w:tcPr>
            <w:tcW w:w="4984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3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可在 0.05–0.90 间调节，阈值越低检出越多</w:t>
            </w:r>
          </w:p>
        </w:tc>
      </w:tr>
      <w:tr>
        <w:trPr/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3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最大影像数</w:t>
            </w:r>
          </w:p>
        </w:tc>
        <w:tc>
          <w:tcPr>
            <w:tcW w:w="1495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3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0（不限）</w:t>
            </w:r>
          </w:p>
        </w:tc>
        <w:tc>
          <w:tcPr>
            <w:tcW w:w="4984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3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用于小批量试跑验证</w:t>
            </w:r>
          </w:p>
        </w:tc>
      </w:tr>
    </w:tbl>
    <w:p w14:paraId="0000003C">
      <w:pPr>
        <w:spacing w:before="0" w:after="150" w:line="40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输出目录按分区管理，矢量成果为 SHP 格式：</w:t>
      </w:r>
    </w:p>
    <w:tbl>
      <w:tblPr>
        <w:tblW w:w="8306" w:type="dxa"/>
        <w:shd w:color="1a1a1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27"/>
        <w:gridCol w:w="1495"/>
        <w:gridCol w:w="4984"/>
      </w:tblGrid>
      <w:tr>
        <w:trPr>
          <w:tblHeader w:val="1"/>
        </w:trPr>
        <w:tc>
          <w:tcPr>
            <w:tcW w:w="1827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3D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成果</w:t>
            </w:r>
          </w:p>
        </w:tc>
        <w:tc>
          <w:tcPr>
            <w:tcW w:w="1495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3E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位置</w:t>
            </w:r>
          </w:p>
        </w:tc>
        <w:tc>
          <w:tcPr>
            <w:tcW w:w="4984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3F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说明</w:t>
            </w:r>
          </w:p>
        </w:tc>
      </w:tr>
      <w:tr>
        <w:trPr/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4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目标点要素</w:t>
            </w:r>
          </w:p>
        </w:tc>
        <w:tc>
          <w:tcPr>
            <w:tcW w:w="1495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41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shp/</w:t>
            </w:r>
          </w:p>
        </w:tc>
        <w:tc>
          <w:tcPr>
            <w:tcW w:w="4984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4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动态障碍、交通标志、信号灯、路侧设施等类别，含类别、批次、来源影像、置信度、离车距离属性</w:t>
            </w:r>
          </w:p>
        </w:tc>
      </w:tr>
      <w:tr>
        <w:trPr/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4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车道线要素</w:t>
            </w:r>
          </w:p>
        </w:tc>
        <w:tc>
          <w:tcPr>
            <w:tcW w:w="1495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44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shp/</w:t>
            </w:r>
          </w:p>
        </w:tc>
        <w:tc>
          <w:tcPr>
            <w:tcW w:w="4984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4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点采样形式，含左右侧与所属批次</w:t>
            </w:r>
          </w:p>
        </w:tc>
      </w:tr>
      <w:tr>
        <w:trPr/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4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时序变化要素</w:t>
            </w:r>
          </w:p>
        </w:tc>
        <w:tc>
          <w:tcPr>
            <w:tcW w:w="1495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47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shp/</w:t>
            </w:r>
          </w:p>
        </w:tc>
        <w:tc>
          <w:tcPr>
            <w:tcW w:w="4984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4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同一路段多批次间目标的新增/消失</w:t>
            </w:r>
          </w:p>
        </w:tc>
      </w:tr>
      <w:tr>
        <w:trPr/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4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标注预览图</w:t>
            </w:r>
          </w:p>
        </w:tc>
        <w:tc>
          <w:tcPr>
            <w:tcW w:w="1495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4A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preview/</w:t>
            </w:r>
          </w:p>
        </w:tc>
        <w:tc>
          <w:tcPr>
            <w:tcW w:w="4984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4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检测框与车道线叠加，供人工抽检</w:t>
            </w:r>
          </w:p>
        </w:tc>
      </w:tr>
      <w:tr>
        <w:trPr/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4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运行日志</w:t>
            </w:r>
          </w:p>
        </w:tc>
        <w:tc>
          <w:tcPr>
            <w:tcW w:w="1495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4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输出目录</w:t>
            </w:r>
          </w:p>
        </w:tc>
        <w:tc>
          <w:tcPr>
            <w:tcW w:w="4984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4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运行日志_时间戳.log，含参数、逐文件明细、分类统计与汇总</w:t>
            </w:r>
          </w:p>
        </w:tc>
      </w:tr>
    </w:tbl>
    <w:p w14:paraId="0000004F">
      <w:pPr>
        <w:pStyle w:val="000008"/>
        <w:keepNext w:val="1"/>
        <w:keepLines w:val="1"/>
        <w:spacing w:before="330" w:beforeAutospacing="1" w:after="150" w:afterAutospacing="1" w:line="408"/>
        <w:ind w:left="0" w:right="0"/>
        <w:outlineLvl w:val="1"/>
        <w:rPr>
          <w:color w:val="1a1a1a"/>
          <w:sz w:val="32"/>
          <w:szCs w:val="32"/>
        </w:rPr>
      </w:pPr>
      <w:bookmarkStart w:id="5" w:name="section-3-2"/>
      <w:r>
        <w:rPr>
          <w:rFonts w:hint="eastAsia" w:ascii="SimHei" w:hAnsi="SimHei" w:eastAsia="SimHei" w:cs="SimHei"/>
          <w:b w:val="1"/>
          <w:color w:val="1a1a1a"/>
          <w:sz w:val="27"/>
        </w:rPr>
        <w:t>3.2　正射影像提取</w:t>
      </w:r>
      <w:bookmarkEnd w:id="5"/>
    </w:p>
    <w:p w14:paraId="00000050">
      <w:pPr>
        <w:spacing w:before="0" w:after="150" w:line="40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面向无人机正射影像（DOM/TIF），自动提取车道标线并输出地理数据库。</w:t>
      </w:r>
    </w:p>
    <w:tbl>
      <w:tblPr>
        <w:tblW w:w="8306" w:type="dxa"/>
        <w:shd w:color="1a1a1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59"/>
        <w:gridCol w:w="1328"/>
        <w:gridCol w:w="4819"/>
      </w:tblGrid>
      <w:tr>
        <w:trPr>
          <w:tblHeader w:val="1"/>
        </w:trPr>
        <w:tc>
          <w:tcPr>
            <w:tcW w:w="2159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51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参数</w:t>
            </w:r>
          </w:p>
        </w:tc>
        <w:tc>
          <w:tcPr>
            <w:tcW w:w="1328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52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默认值</w:t>
            </w:r>
          </w:p>
        </w:tc>
        <w:tc>
          <w:tcPr>
            <w:tcW w:w="4819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53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说明</w:t>
            </w:r>
          </w:p>
        </w:tc>
      </w:tr>
      <w:tr>
        <w:trPr/>
        <w:tc>
          <w:tcPr>
            <w:tcW w:w="215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5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正射影像目录</w:t>
            </w:r>
          </w:p>
        </w:tc>
        <w:tc>
          <w:tcPr>
            <w:tcW w:w="1328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55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—</w:t>
            </w:r>
          </w:p>
        </w:tc>
        <w:tc>
          <w:tcPr>
            <w:tcW w:w="481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5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选择包含 DOM 影像（.tif）的目录，工具自动识别其中最大的 TIF 文件</w:t>
            </w:r>
          </w:p>
        </w:tc>
      </w:tr>
      <w:tr>
        <w:trPr/>
        <w:tc>
          <w:tcPr>
            <w:tcW w:w="215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5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存量 GDB</w:t>
            </w:r>
          </w:p>
        </w:tc>
        <w:tc>
          <w:tcPr>
            <w:tcW w:w="1328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5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可选</w:t>
            </w:r>
          </w:p>
        </w:tc>
        <w:tc>
          <w:tcPr>
            <w:tcW w:w="481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5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提供后仅处理存量图幅覆盖范围，速度与精度更优</w:t>
            </w:r>
          </w:p>
        </w:tc>
      </w:tr>
      <w:tr>
        <w:trPr/>
        <w:tc>
          <w:tcPr>
            <w:tcW w:w="215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5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最短标线</w:t>
            </w:r>
          </w:p>
        </w:tc>
        <w:tc>
          <w:tcPr>
            <w:tcW w:w="1328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5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2 米</w:t>
            </w:r>
          </w:p>
        </w:tc>
        <w:tc>
          <w:tcPr>
            <w:tcW w:w="481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5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小于该长度的碎片自动剔除</w:t>
            </w:r>
          </w:p>
        </w:tc>
      </w:tr>
      <w:tr>
        <w:trPr/>
        <w:tc>
          <w:tcPr>
            <w:tcW w:w="215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5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仅提取存量道路走廊</w:t>
            </w:r>
          </w:p>
        </w:tc>
        <w:tc>
          <w:tcPr>
            <w:tcW w:w="1328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5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开启</w:t>
            </w:r>
          </w:p>
        </w:tc>
        <w:tc>
          <w:tcPr>
            <w:tcW w:w="481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5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以存量线状道路要素为中心构建 ±8 米走廊，仅保留走廊内结果；道路两侧建筑物、屋顶、庭院等一律不提取</w:t>
            </w:r>
          </w:p>
        </w:tc>
      </w:tr>
    </w:tbl>
    <w:p w14:paraId="00000060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1a1a1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59"/>
        <w:gridCol w:w="6147"/>
      </w:tblGrid>
      <w:tr>
        <w:trPr>
          <w:tblHeader w:val="1"/>
        </w:trPr>
        <w:tc>
          <w:tcPr>
            <w:tcW w:w="2159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61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成果</w:t>
            </w:r>
          </w:p>
        </w:tc>
        <w:tc>
          <w:tcPr>
            <w:tcW w:w="6147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62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说明</w:t>
            </w:r>
          </w:p>
        </w:tc>
      </w:tr>
      <w:tr>
        <w:trPr/>
        <w:tc>
          <w:tcPr>
            <w:tcW w:w="215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6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正射提取.gdb</w:t>
            </w:r>
          </w:p>
        </w:tc>
        <w:tc>
          <w:tcPr>
            <w:tcW w:w="614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6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lanes（线状标线）、lane_areas（面状标线）两个图层</w:t>
            </w:r>
          </w:p>
        </w:tc>
      </w:tr>
      <w:tr>
        <w:trPr/>
        <w:tc>
          <w:tcPr>
            <w:tcW w:w="215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6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叠加预览图</w:t>
            </w:r>
          </w:p>
        </w:tc>
        <w:tc>
          <w:tcPr>
            <w:tcW w:w="614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6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提取结果与影像叠加渲染，供人工核验</w:t>
            </w:r>
          </w:p>
        </w:tc>
      </w:tr>
      <w:tr>
        <w:trPr/>
        <w:tc>
          <w:tcPr>
            <w:tcW w:w="215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6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运行日志</w:t>
            </w:r>
          </w:p>
        </w:tc>
        <w:tc>
          <w:tcPr>
            <w:tcW w:w="614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6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处理过程逐阶段记录，含原始提取、共线合并、GDB 写出等阶段进度</w:t>
            </w:r>
          </w:p>
        </w:tc>
      </w:tr>
    </w:tbl>
    <w:p w14:paraId="00000069">
      <w:pPr>
        <w:pStyle w:val="000008"/>
        <w:keepNext w:val="1"/>
        <w:keepLines w:val="1"/>
        <w:spacing w:before="330" w:beforeAutospacing="1" w:after="150" w:afterAutospacing="1" w:line="408"/>
        <w:ind w:left="0" w:right="0"/>
        <w:outlineLvl w:val="1"/>
        <w:rPr>
          <w:color w:val="1a1a1a"/>
          <w:sz w:val="32"/>
          <w:szCs w:val="32"/>
        </w:rPr>
      </w:pPr>
      <w:bookmarkStart w:id="6" w:name="section-3-3"/>
      <w:r>
        <w:rPr>
          <w:rFonts w:hint="eastAsia" w:ascii="SimHei" w:hAnsi="SimHei" w:eastAsia="SimHei" w:cs="SimHei"/>
          <w:b w:val="1"/>
          <w:color w:val="1a1a1a"/>
          <w:sz w:val="27"/>
        </w:rPr>
        <w:t>3.3　变化比对</w:t>
      </w:r>
      <w:bookmarkEnd w:id="6"/>
    </w:p>
    <w:p w14:paraId="0000006A">
      <w:pPr>
        <w:spacing w:before="0" w:after="150" w:line="40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将自动解译成果与存量地图做要素级比对，输出变化清单与叠加预览。</w:t>
      </w:r>
    </w:p>
    <w:tbl>
      <w:tblPr>
        <w:tblW w:w="8306" w:type="dxa"/>
        <w:shd w:color="1a1a1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59"/>
        <w:gridCol w:w="6147"/>
      </w:tblGrid>
      <w:tr>
        <w:trPr>
          <w:tblHeader w:val="1"/>
        </w:trPr>
        <w:tc>
          <w:tcPr>
            <w:tcW w:w="2159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6B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参数</w:t>
            </w:r>
          </w:p>
        </w:tc>
        <w:tc>
          <w:tcPr>
            <w:tcW w:w="6147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6C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说明</w:t>
            </w:r>
          </w:p>
        </w:tc>
      </w:tr>
      <w:tr>
        <w:trPr/>
        <w:tc>
          <w:tcPr>
            <w:tcW w:w="215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6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新成果 GDB</w:t>
            </w:r>
          </w:p>
        </w:tc>
        <w:tc>
          <w:tcPr>
            <w:tcW w:w="614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6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正射提取或车载解译生成的地理数据库</w:t>
            </w:r>
          </w:p>
        </w:tc>
      </w:tr>
      <w:tr>
        <w:trPr/>
        <w:tc>
          <w:tcPr>
            <w:tcW w:w="215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6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存量 GDB</w:t>
            </w:r>
          </w:p>
        </w:tc>
        <w:tc>
          <w:tcPr>
            <w:tcW w:w="614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7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既有全要素成果</w:t>
            </w:r>
          </w:p>
        </w:tc>
      </w:tr>
      <w:tr>
        <w:trPr/>
        <w:tc>
          <w:tcPr>
            <w:tcW w:w="215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7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底图 TIF</w:t>
            </w:r>
          </w:p>
        </w:tc>
        <w:tc>
          <w:tcPr>
            <w:tcW w:w="614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7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可选。提供后预览图以正射影像为底渲染</w:t>
            </w:r>
          </w:p>
        </w:tc>
      </w:tr>
    </w:tbl>
    <w:p w14:paraId="00000073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1a1a1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59"/>
        <w:gridCol w:w="6147"/>
      </w:tblGrid>
      <w:tr>
        <w:trPr>
          <w:tblHeader w:val="1"/>
        </w:trPr>
        <w:tc>
          <w:tcPr>
            <w:tcW w:w="2159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74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成果</w:t>
            </w:r>
          </w:p>
        </w:tc>
        <w:tc>
          <w:tcPr>
            <w:tcW w:w="6147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75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说明</w:t>
            </w:r>
          </w:p>
        </w:tc>
      </w:tr>
      <w:tr>
        <w:trPr/>
        <w:tc>
          <w:tcPr>
            <w:tcW w:w="215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7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变化统计</w:t>
            </w:r>
          </w:p>
        </w:tc>
        <w:tc>
          <w:tcPr>
            <w:tcW w:w="614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7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匹配、疑似新增、缺失、疑似改动四项总量及按类别明细表</w:t>
            </w:r>
          </w:p>
        </w:tc>
      </w:tr>
      <w:tr>
        <w:trPr/>
        <w:tc>
          <w:tcPr>
            <w:tcW w:w="215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7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变化预览图</w:t>
            </w:r>
          </w:p>
        </w:tc>
        <w:tc>
          <w:tcPr>
            <w:tcW w:w="614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7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变化要素与底图叠加渲染</w:t>
            </w:r>
          </w:p>
        </w:tc>
      </w:tr>
      <w:tr>
        <w:trPr/>
        <w:tc>
          <w:tcPr>
            <w:tcW w:w="215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7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变化比对.gdb</w:t>
            </w:r>
          </w:p>
        </w:tc>
        <w:tc>
          <w:tcPr>
            <w:tcW w:w="614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7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变化要素分图层组织，附来源图层与判定原因字段</w:t>
            </w:r>
          </w:p>
        </w:tc>
      </w:tr>
      <w:tr>
        <w:trPr/>
        <w:tc>
          <w:tcPr>
            <w:tcW w:w="215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7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比对报告.json</w:t>
            </w:r>
          </w:p>
        </w:tc>
        <w:tc>
          <w:tcPr>
            <w:tcW w:w="614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7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机读格式比对结果</w:t>
            </w:r>
          </w:p>
        </w:tc>
      </w:tr>
    </w:tbl>
    <w:p w14:paraId="0000007E">
      <w:pPr>
        <w:spacing w:before="0" w:after="150" w:line="40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比对结果自动留档至存量 GDB 同级的「变化比对_时间戳」目录，界面提供一键打开留档目录。比对结论为「疑似」性质，最终以人工内业确认为准，确认后并入存量库实现增量更新。</w:t>
      </w:r>
    </w:p>
    <w:p w14:paraId="0000007F">
      <w:pPr>
        <w:pStyle w:val="000004"/>
        <w:keepNext w:val="1"/>
        <w:keepLines w:val="1"/>
        <w:pBdr>
          <w:bottom w:val="single" w:color="1f3864" w:sz="12" w:space="6"/>
        </w:pBdr>
        <w:spacing w:before="510" w:beforeAutospacing="1" w:after="270" w:afterAutospacing="1" w:line="408"/>
        <w:ind w:left="0" w:right="0"/>
        <w:outlineLvl w:val="0"/>
        <w:rPr>
          <w:color w:val="1f3864"/>
          <w:kern w:val="44"/>
          <w:sz w:val="44"/>
          <w:szCs w:val="44"/>
        </w:rPr>
      </w:pPr>
      <w:bookmarkStart w:id="7" w:name="section-4"/>
      <w:r>
        <w:rPr>
          <w:rFonts w:hint="eastAsia" w:ascii="SimHei" w:hAnsi="SimHei" w:eastAsia="SimHei" w:cs="SimHei"/>
          <w:b w:val="1"/>
          <w:color w:val="1f3864"/>
          <w:sz w:val="32"/>
        </w:rPr>
        <w:t>四、界面功能说明</w:t>
      </w:r>
      <w:bookmarkEnd w:id="7"/>
    </w:p>
    <w:p w14:paraId="00000080">
      <w:pPr>
        <w:spacing w:before="0" w:after="150" w:line="408"/>
        <w:ind w:left="0" w:right="0" w:firstLine="480"/>
        <w:jc w:val="both"/>
        <w:rPr>
          <w:color w:val="1a1a1a"/>
        </w:rPr>
      </w:pPr>
      <w:r>
        <w:rPr>
          <w:rFonts w:hint="eastAsia" w:ascii="SimHei" w:hAnsi="SimHei" w:eastAsia="SimHei" w:cs="SimHei"/>
          <w:b w:val="1"/>
          <w:color w:val="1a1a1a"/>
          <w:sz w:val="24"/>
        </w:rPr>
        <w:t>进度与队列。</w:t>
      </w:r>
      <w:r>
        <w:rPr>
          <w:rFonts w:hint="eastAsia" w:ascii="SimSun" w:hAnsi="SimSun" w:eastAsia="SimSun" w:cs="SimSun"/>
          <w:color w:val="1a1a1a"/>
          <w:sz w:val="24"/>
        </w:rPr>
        <w:t>任务运行中实时显示整体进度百分比、已处理数量、预计剩余时间；车载影像提取提供逐文件状态队列，每幅影像显示等待/处理中/完成/失败状态及分类检出标签，支持按全部、成功、失败筛选。</w:t>
      </w:r>
    </w:p>
    <w:p w14:paraId="00000081">
      <w:pPr>
        <w:spacing w:before="0" w:after="150" w:line="408"/>
        <w:ind w:left="0" w:right="0" w:firstLine="480"/>
        <w:jc w:val="both"/>
        <w:rPr>
          <w:color w:val="1a1a1a"/>
        </w:rPr>
      </w:pPr>
      <w:r>
        <w:rPr>
          <w:rFonts w:hint="eastAsia" w:ascii="SimHei" w:hAnsi="SimHei" w:eastAsia="SimHei" w:cs="SimHei"/>
          <w:b w:val="1"/>
          <w:color w:val="1a1a1a"/>
          <w:sz w:val="24"/>
        </w:rPr>
        <w:t>运行日志。</w:t>
      </w:r>
      <w:r>
        <w:rPr>
          <w:rFonts w:hint="eastAsia" w:ascii="SimSun" w:hAnsi="SimSun" w:eastAsia="SimSun" w:cs="SimSun"/>
          <w:color w:val="1a1a1a"/>
          <w:sz w:val="24"/>
        </w:rPr>
        <w:t>终端风格展示，按语义着色（成功、信息、错误），逐行带时间戳，并同步写入输出目录的日志文件。</w:t>
      </w:r>
    </w:p>
    <w:p w14:paraId="00000082">
      <w:pPr>
        <w:spacing w:before="0" w:after="150" w:line="408"/>
        <w:ind w:left="0" w:right="0" w:firstLine="480"/>
        <w:jc w:val="both"/>
        <w:rPr>
          <w:color w:val="1a1a1a"/>
        </w:rPr>
      </w:pPr>
      <w:r>
        <w:rPr>
          <w:rFonts w:hint="eastAsia" w:ascii="SimHei" w:hAnsi="SimHei" w:eastAsia="SimHei" w:cs="SimHei"/>
          <w:b w:val="1"/>
          <w:color w:val="1a1a1a"/>
          <w:sz w:val="24"/>
        </w:rPr>
        <w:t>结果展示。</w:t>
      </w:r>
      <w:r>
        <w:rPr>
          <w:rFonts w:hint="eastAsia" w:ascii="SimSun" w:hAnsi="SimSun" w:eastAsia="SimSun" w:cs="SimSun"/>
          <w:color w:val="1a1a1a"/>
          <w:sz w:val="24"/>
        </w:rPr>
        <w:t>任务完成后在工作台内直接展示统计卡片、分类明细表与结果预览图；预览图支持滚轮缩放、拖动平移、双击还原，并默认铺满显示区域。</w:t>
      </w:r>
    </w:p>
    <w:p w14:paraId="00000082">
      <w:pPr>
        <w:spacing w:before="0" w:after="150" w:line="408"/>
        <w:ind w:left="0" w:right="0" w:firstLine="480"/>
        <w:jc w:val="both"/>
        <w:rPr>
          <w:color w:val="1a1a1a"/>
        </w:rPr>
      </w:pPr>
      <w:r>
        <w:rPr>
          <w:rFonts w:hint="eastAsia" w:ascii="SimHei" w:hAnsi="SimHei" w:eastAsia="SimHei" w:cs="SimHei"/>
          <w:b w:val="1"/>
          <w:color w:val="1a1a1a"/>
          <w:sz w:val="24"/>
        </w:rPr>
        <w:t>退出确认。点击窗口关闭按钮时，工具先弹出系统确认提示，不会立即退出。提示中同时说明：如仍有任务正在运行，退出将中断当前任务。选择「取消」返回工作界面，选择「退出」才真正关闭程序。</w:t>
      </w:r>
    </w:p>
    <w:p w14:paraId="00000083">
      <w:pPr>
        <w:pStyle w:val="000004"/>
        <w:keepNext w:val="1"/>
        <w:keepLines w:val="1"/>
        <w:pBdr>
          <w:bottom w:val="single" w:color="1f3864" w:sz="12" w:space="6"/>
        </w:pBdr>
        <w:spacing w:before="510" w:beforeAutospacing="1" w:after="270" w:afterAutospacing="1" w:line="408"/>
        <w:ind w:left="0" w:right="0"/>
        <w:outlineLvl w:val="0"/>
        <w:rPr>
          <w:color w:val="1f3864"/>
          <w:kern w:val="44"/>
          <w:sz w:val="44"/>
          <w:szCs w:val="44"/>
        </w:rPr>
      </w:pPr>
      <w:bookmarkStart w:id="8" w:name="section-5"/>
      <w:r>
        <w:rPr>
          <w:rFonts w:hint="eastAsia" w:ascii="SimHei" w:hAnsi="SimHei" w:eastAsia="SimHei" w:cs="SimHei"/>
          <w:b w:val="1"/>
          <w:color w:val="1f3864"/>
          <w:sz w:val="32"/>
        </w:rPr>
        <w:t>五、技术特点</w:t>
      </w:r>
      <w:bookmarkEnd w:id="8"/>
    </w:p>
    <w:p w14:paraId="00000084">
      <w:pPr>
        <w:numPr>
          <w:ilvl w:val="0"/>
          <w:numId w:val="2"/>
        </w:numPr>
        <w:spacing w:before="0" w:after="90" w:line="408"/>
        <w:ind w:left="576" w:right="0"/>
        <w:jc w:val="both"/>
        <w:rPr>
          <w:color w:val="1a1a1a"/>
        </w:rPr>
      </w:pPr>
      <w:r>
        <w:rPr>
          <w:rFonts w:hint="eastAsia" w:ascii="SimHei" w:hAnsi="SimHei" w:eastAsia="SimHei" w:cs="SimHei"/>
          <w:b w:val="1"/>
          <w:color w:val="1a1a1a"/>
          <w:sz w:val="24"/>
        </w:rPr>
        <w:t>目标检测</w:t>
      </w:r>
      <w:r>
        <w:rPr>
          <w:rFonts w:hint="eastAsia" w:ascii="SimSun" w:hAnsi="SimSun" w:eastAsia="SimSun" w:cs="SimSun"/>
          <w:color w:val="1a1a1a"/>
          <w:sz w:val="24"/>
        </w:rPr>
        <w:t>：采用 YOLO11 目标检测网络，ONNX Runtime CPU 推理，输入尺寸 1536，兼顾小目标召回率与推理速度，无需 GPU 与联网；</w:t>
      </w:r>
    </w:p>
    <w:p w14:paraId="00000085">
      <w:pPr>
        <w:numPr>
          <w:ilvl w:val="0"/>
          <w:numId w:val="2"/>
        </w:numPr>
        <w:spacing w:before="0" w:after="90" w:line="408"/>
        <w:ind w:left="576" w:right="0"/>
        <w:jc w:val="both"/>
        <w:rPr>
          <w:color w:val="1a1a1a"/>
        </w:rPr>
      </w:pPr>
      <w:r>
        <w:rPr>
          <w:rFonts w:hint="eastAsia" w:ascii="SimHei" w:hAnsi="SimHei" w:eastAsia="SimHei" w:cs="SimHei"/>
          <w:b w:val="1"/>
          <w:color w:val="1a1a1a"/>
          <w:sz w:val="24"/>
        </w:rPr>
        <w:t>车道线提取</w:t>
      </w:r>
      <w:r>
        <w:rPr>
          <w:rFonts w:hint="eastAsia" w:ascii="SimSun" w:hAnsi="SimSun" w:eastAsia="SimSun" w:cs="SimSun"/>
          <w:color w:val="1a1a1a"/>
          <w:sz w:val="24"/>
        </w:rPr>
        <w:t>：颜色掩膜、边缘门控、颜色占比评分与 RANSAC 拟合多重约束，仅输出有观测证据的线段，不向遮挡区域外推；</w:t>
      </w:r>
    </w:p>
    <w:p w14:paraId="00000086">
      <w:pPr>
        <w:numPr>
          <w:ilvl w:val="0"/>
          <w:numId w:val="2"/>
        </w:numPr>
        <w:spacing w:before="0" w:after="90" w:line="408"/>
        <w:ind w:left="576" w:right="0"/>
        <w:jc w:val="both"/>
        <w:rPr>
          <w:color w:val="1a1a1a"/>
        </w:rPr>
      </w:pPr>
      <w:r>
        <w:rPr>
          <w:rFonts w:hint="eastAsia" w:ascii="SimHei" w:hAnsi="SimHei" w:eastAsia="SimHei" w:cs="SimHei"/>
          <w:b w:val="1"/>
          <w:color w:val="1a1a1a"/>
          <w:sz w:val="24"/>
        </w:rPr>
        <w:t>鱼眼畸变校正</w:t>
      </w:r>
      <w:r>
        <w:rPr>
          <w:rFonts w:hint="eastAsia" w:ascii="SimSun" w:hAnsi="SimSun" w:eastAsia="SimSun" w:cs="SimSun"/>
          <w:color w:val="1a1a1a"/>
          <w:sz w:val="24"/>
        </w:rPr>
        <w:t>：针对全景相机广角畸变建立球面投影校正映射并缓存，逐幅重采样；</w:t>
      </w:r>
    </w:p>
    <w:p w14:paraId="00000087">
      <w:pPr>
        <w:numPr>
          <w:ilvl w:val="0"/>
          <w:numId w:val="2"/>
        </w:numPr>
        <w:spacing w:before="0" w:after="90" w:line="408"/>
        <w:ind w:left="576" w:right="0"/>
        <w:jc w:val="both"/>
        <w:rPr>
          <w:color w:val="1a1a1a"/>
        </w:rPr>
      </w:pPr>
      <w:r>
        <w:rPr>
          <w:rFonts w:hint="eastAsia" w:ascii="SimHei" w:hAnsi="SimHei" w:eastAsia="SimHei" w:cs="SimHei"/>
          <w:b w:val="1"/>
          <w:color w:val="1a1a1a"/>
          <w:sz w:val="24"/>
        </w:rPr>
        <w:t>地理参考</w:t>
      </w:r>
      <w:r>
        <w:rPr>
          <w:rFonts w:hint="eastAsia" w:ascii="SimSun" w:hAnsi="SimSun" w:eastAsia="SimSun" w:cs="SimSun"/>
          <w:color w:val="1a1a1a"/>
          <w:sz w:val="24"/>
        </w:rPr>
        <w:t>：位姿与相机模型联合解算，像素坐标反投至地面，坐标系与存量成果完全一致；</w:t>
      </w:r>
    </w:p>
    <w:p w14:paraId="00000088">
      <w:pPr>
        <w:numPr>
          <w:ilvl w:val="0"/>
          <w:numId w:val="2"/>
        </w:numPr>
        <w:spacing w:before="0" w:after="90" w:line="408"/>
        <w:ind w:left="576" w:right="0"/>
        <w:jc w:val="both"/>
        <w:rPr>
          <w:color w:val="1a1a1a"/>
        </w:rPr>
      </w:pPr>
      <w:r>
        <w:rPr>
          <w:rFonts w:hint="eastAsia" w:ascii="SimHei" w:hAnsi="SimHei" w:eastAsia="SimHei" w:cs="SimHei"/>
          <w:b w:val="1"/>
          <w:color w:val="1a1a1a"/>
          <w:sz w:val="24"/>
        </w:rPr>
        <w:t>大幅面正射处理</w:t>
      </w:r>
      <w:r>
        <w:rPr>
          <w:rFonts w:hint="eastAsia" w:ascii="SimSun" w:hAnsi="SimSun" w:eastAsia="SimSun" w:cs="SimSun"/>
          <w:color w:val="1a1a1a"/>
          <w:sz w:val="24"/>
        </w:rPr>
        <w:t>：2048 像素分块、256 像素重叠读取，局部对比度分割与路面掩膜约束，支持单幅 5 万×8 万像素的大幅面影像；</w:t>
      </w:r>
    </w:p>
    <w:p w14:paraId="00000089">
      <w:pPr>
        <w:numPr>
          <w:ilvl w:val="0"/>
          <w:numId w:val="2"/>
        </w:numPr>
        <w:spacing w:before="0" w:after="90" w:line="408"/>
        <w:ind w:left="576" w:right="0"/>
        <w:jc w:val="both"/>
        <w:rPr>
          <w:color w:val="1a1a1a"/>
        </w:rPr>
      </w:pPr>
      <w:r>
        <w:rPr>
          <w:rFonts w:hint="eastAsia" w:ascii="SimHei" w:hAnsi="SimHei" w:eastAsia="SimHei" w:cs="SimHei"/>
          <w:b w:val="1"/>
          <w:color w:val="1a1a1a"/>
          <w:sz w:val="24"/>
        </w:rPr>
        <w:t>要素级变化比对</w:t>
      </w:r>
      <w:r>
        <w:rPr>
          <w:rFonts w:hint="eastAsia" w:ascii="SimSun" w:hAnsi="SimSun" w:eastAsia="SimSun" w:cs="SimSun"/>
          <w:color w:val="1a1a1a"/>
          <w:sz w:val="24"/>
        </w:rPr>
        <w:t>：线、面、点三类要素分别采用覆盖式匹配、IoU 匹配与最近邻匹配策略，变化结论附判定原因。</w:t>
      </w:r>
    </w:p>
    <w:p w14:paraId="0000008A">
      <w:pPr>
        <w:pStyle w:val="000004"/>
        <w:keepNext w:val="1"/>
        <w:keepLines w:val="1"/>
        <w:pBdr>
          <w:bottom w:val="single" w:color="1f3864" w:sz="12" w:space="6"/>
        </w:pBdr>
        <w:spacing w:before="510" w:beforeAutospacing="1" w:after="270" w:afterAutospacing="1" w:line="408"/>
        <w:ind w:left="0" w:right="0"/>
        <w:outlineLvl w:val="0"/>
        <w:rPr>
          <w:color w:val="1f3864"/>
          <w:kern w:val="44"/>
          <w:sz w:val="44"/>
          <w:szCs w:val="44"/>
        </w:rPr>
      </w:pPr>
      <w:bookmarkStart w:id="9" w:name="section-6"/>
      <w:r>
        <w:rPr>
          <w:rFonts w:hint="eastAsia" w:ascii="SimHei" w:hAnsi="SimHei" w:eastAsia="SimHei" w:cs="SimHei"/>
          <w:b w:val="1"/>
          <w:color w:val="1f3864"/>
          <w:sz w:val="32"/>
        </w:rPr>
        <w:t>六、性能参考</w:t>
      </w:r>
      <w:bookmarkEnd w:id="9"/>
    </w:p>
    <w:p w14:paraId="0000008B">
      <w:pPr>
        <w:spacing w:before="0" w:after="150" w:line="40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以下数据基于真实业务数据实测（Apple M4 及现代多核 CPU 量级），供评估参考：</w:t>
      </w:r>
    </w:p>
    <w:tbl>
      <w:tblPr>
        <w:tblW w:w="8306" w:type="dxa"/>
        <w:shd w:color="1a1a1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91"/>
        <w:gridCol w:w="2824"/>
        <w:gridCol w:w="2991"/>
      </w:tblGrid>
      <w:tr>
        <w:trPr>
          <w:tblHeader w:val="1"/>
        </w:trPr>
        <w:tc>
          <w:tcPr>
            <w:tcW w:w="2491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8C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场景</w:t>
            </w:r>
          </w:p>
        </w:tc>
        <w:tc>
          <w:tcPr>
            <w:tcW w:w="2824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8D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数据规模</w:t>
            </w:r>
          </w:p>
        </w:tc>
        <w:tc>
          <w:tcPr>
            <w:tcW w:w="2991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8E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结果</w:t>
            </w:r>
          </w:p>
        </w:tc>
      </w:tr>
      <w:tr>
        <w:trPr/>
        <w:tc>
          <w:tcPr>
            <w:tcW w:w="2491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8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车载影像解译</w:t>
            </w:r>
          </w:p>
        </w:tc>
        <w:tc>
          <w:tcPr>
            <w:tcW w:w="2824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9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148 幅全景影像</w:t>
            </w:r>
          </w:p>
        </w:tc>
        <w:tc>
          <w:tcPr>
            <w:tcW w:w="2991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9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单幅端到端约 0.5–1 秒，全流程数分钟内完成</w:t>
            </w:r>
          </w:p>
        </w:tc>
      </w:tr>
      <w:tr>
        <w:trPr/>
        <w:tc>
          <w:tcPr>
            <w:tcW w:w="2491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9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正射影像标线提取</w:t>
            </w:r>
          </w:p>
        </w:tc>
        <w:tc>
          <w:tcPr>
            <w:tcW w:w="2824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9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1.7 GB DOM（53037×79277 像素）</w:t>
            </w:r>
          </w:p>
        </w:tc>
        <w:tc>
          <w:tcPr>
            <w:tcW w:w="2991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9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约 17 秒完成，标线 532 条、面状标线 16 个</w:t>
            </w:r>
          </w:p>
        </w:tc>
      </w:tr>
      <w:tr>
        <w:trPr/>
        <w:tc>
          <w:tcPr>
            <w:tcW w:w="2491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9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正射提取与存量比对</w:t>
            </w:r>
          </w:p>
        </w:tc>
        <w:tc>
          <w:tcPr>
            <w:tcW w:w="2824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9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存量 211 条标线</w:t>
            </w:r>
          </w:p>
        </w:tc>
        <w:tc>
          <w:tcPr>
            <w:tcW w:w="2991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9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匹配 138 条；走廊模式下建筑区域零误提</w:t>
            </w:r>
          </w:p>
        </w:tc>
      </w:tr>
      <w:tr>
        <w:trPr/>
        <w:tc>
          <w:tcPr>
            <w:tcW w:w="2491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9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大幅面全图处理</w:t>
            </w:r>
          </w:p>
        </w:tc>
        <w:tc>
          <w:tcPr>
            <w:tcW w:w="2824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9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不启用走廊约束</w:t>
            </w:r>
          </w:p>
        </w:tc>
        <w:tc>
          <w:tcPr>
            <w:tcW w:w="2991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9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标线 1407 条，召回率 90.7%</w:t>
            </w:r>
          </w:p>
        </w:tc>
      </w:tr>
    </w:tbl>
    <w:p w14:paraId="0000009B">
      <w:pPr>
        <w:pStyle w:val="000004"/>
        <w:keepNext w:val="1"/>
        <w:keepLines w:val="1"/>
        <w:pBdr>
          <w:bottom w:val="single" w:color="1f3864" w:sz="12" w:space="6"/>
        </w:pBdr>
        <w:spacing w:before="510" w:beforeAutospacing="1" w:after="270" w:afterAutospacing="1" w:line="408"/>
        <w:ind w:left="0" w:right="0"/>
        <w:outlineLvl w:val="0"/>
        <w:rPr>
          <w:color w:val="1f3864"/>
          <w:kern w:val="44"/>
          <w:sz w:val="44"/>
          <w:szCs w:val="44"/>
        </w:rPr>
      </w:pPr>
      <w:bookmarkStart w:id="10" w:name="section-7"/>
      <w:r>
        <w:rPr>
          <w:rFonts w:hint="eastAsia" w:ascii="SimHei" w:hAnsi="SimHei" w:eastAsia="SimHei" w:cs="SimHei"/>
          <w:b w:val="1"/>
          <w:color w:val="1f3864"/>
          <w:sz w:val="32"/>
        </w:rPr>
        <w:t>七、常见问题</w:t>
      </w:r>
      <w:bookmarkEnd w:id="10"/>
    </w:p>
    <w:tbl>
      <w:tblPr>
        <w:tblW w:w="8306" w:type="dxa"/>
        <w:shd w:color="1a1a1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654"/>
        <w:gridCol w:w="4652"/>
      </w:tblGrid>
      <w:tr>
        <w:trPr>
          <w:tblHeader w:val="1"/>
        </w:trPr>
        <w:tc>
          <w:tcPr>
            <w:tcW w:w="3654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9C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现象</w:t>
            </w:r>
          </w:p>
        </w:tc>
        <w:tc>
          <w:tcPr>
            <w:tcW w:w="4652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9D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处理建议</w:t>
            </w:r>
          </w:p>
        </w:tc>
      </w:tr>
      <w:tr>
        <w:trPr/>
        <w:tc>
          <w:tcPr>
            <w:tcW w:w="3654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9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macOS 首次打开提示无法验证开发者</w:t>
            </w:r>
          </w:p>
        </w:tc>
        <w:tc>
          <w:tcPr>
            <w:tcW w:w="4652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9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右键点击 AIVisionTool.app 选择「打开」</w:t>
            </w:r>
          </w:p>
        </w:tc>
      </w:tr>
      <w:tr>
        <w:trPr/>
        <w:tc>
          <w:tcPr>
            <w:tcW w:w="3654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A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车载影像数量为 0</w:t>
            </w:r>
          </w:p>
        </w:tc>
        <w:tc>
          <w:tcPr>
            <w:tcW w:w="4652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A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检查照片目录与轨迹目录是否按批次同名配对</w:t>
            </w:r>
          </w:p>
        </w:tc>
      </w:tr>
      <w:tr>
        <w:trPr/>
        <w:tc>
          <w:tcPr>
            <w:tcW w:w="3654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A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正射提取选择目录后无影像</w:t>
            </w:r>
          </w:p>
        </w:tc>
        <w:tc>
          <w:tcPr>
            <w:tcW w:w="4652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A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确认目录内包含 .tif / .tiff 文件</w:t>
            </w:r>
          </w:p>
        </w:tc>
      </w:tr>
      <w:tr>
        <w:trPr/>
        <w:tc>
          <w:tcPr>
            <w:tcW w:w="3654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A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变化比对出现大量「缺失」</w:t>
            </w:r>
          </w:p>
        </w:tc>
        <w:tc>
          <w:tcPr>
            <w:tcW w:w="4652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A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多为树冠遮挡导致标线断裂所致，属疑似结论，请人工确认</w:t>
            </w:r>
          </w:p>
        </w:tc>
      </w:tr>
      <w:tr>
        <w:trPr/>
        <w:tc>
          <w:tcPr>
            <w:tcW w:w="3654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A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结果区未显示预览图</w:t>
            </w:r>
          </w:p>
        </w:tc>
        <w:tc>
          <w:tcPr>
            <w:tcW w:w="4652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A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任务完成后结果区保留单张预览图；若提示加载失败，可直接打开输出目录查看已生成的预览图文件</w:t>
            </w:r>
          </w:p>
        </w:tc>
      </w:tr>
      <w:tr>
        <w:trPr/>
        <w:tc>
          <w:tcPr>
            <w:tcW w:w="3654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A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点关闭按钮后程序未退出</w:t>
            </w:r>
          </w:p>
        </w:tc>
        <w:tc>
          <w:tcPr>
            <w:tcW w:w="4652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A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弹出的是退出确认提示，选择「退出」才关闭程序；选择「取消」可返回继续操作</w:t>
            </w:r>
          </w:p>
        </w:tc>
      </w:tr>
      <w:tr>
        <w:trPr/>
        <w:tc>
          <w:tcPr>
            <w:tcW w:w="3654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A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结果与底图无法叠合</w:t>
            </w:r>
          </w:p>
        </w:tc>
        <w:tc>
          <w:tcPr>
            <w:tcW w:w="4652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A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检查输入数据的坐标系定义，成果坐标系取自存量参考文件</w:t>
            </w:r>
          </w:p>
        </w:tc>
      </w:tr>
    </w:tbl>
    <w:p w14:paraId="000000A8">
      <w:pPr>
        <w:spacing w:before="360" w:after="150" w:line="408"/>
        <w:ind w:left="0" w:right="0"/>
        <w:jc w:val="both"/>
        <w:rPr>
          <w:color w:val="5a6472"/>
        </w:rPr>
      </w:pPr>
      <w:r>
        <w:rPr>
          <w:rFonts w:hint="eastAsia" w:ascii="SimSun" w:hAnsi="SimSun" w:eastAsia="SimSun" w:cs="SimSun"/>
          <w:color w:val="5a6472"/>
          <w:sz w:val="24"/>
        </w:rPr>
        <w:t>本文档随版本更新，具体功能以随版本交付的软件为准。</w:t>
      </w:r>
    </w:p>
    <w:p w14:paraId="000000A9"/>
    <w:sectPr>
      <w:type w:val="nextPage"/>
      <w:pgNumType w:start="1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annotation text" w:semiHidden="1" w:unhideWhenUsed="1"/>
    <w:lsdException w:name="List Number 5" w:semiHidden="1" w:unhideWhenUsed="1"/>
    <w:lsdException w:name="Strong" w:uiPriority="22" w:qFormat="1"/>
    <w:lsdException w:name="List Bullet 2" w:semiHidden="1" w:unhideWhenUsed="1"/>
    <w:lsdException w:name="envelope return" w:semiHidden="1" w:unhideWhenUsed="1"/>
    <w:lsdException w:name="Title" w:uiPriority="10" w:qFormat="1"/>
    <w:lsdException w:name="heading 5" w:uiPriority="9" w:semiHidden="1" w:unhideWhenUsed="1" w:qFormat="1"/>
    <w:lsdException w:name="List Continue 2" w:semiHidden="1" w:unhideWhenUsed="1"/>
    <w:lsdException w:name="Block Text" w:semiHidden="1" w:unhideWhenUsed="1"/>
    <w:lsdException w:name="heading 4" w:uiPriority="9" w:semiHidden="1" w:unhideWhenUsed="1" w:qFormat="1"/>
    <w:lsdException w:name="Salutation" w:semiHidden="1" w:unhideWhenUsed="1"/>
    <w:lsdException w:name="Body Text First Indent" w:semiHidden="1" w:unhideWhenUsed="1"/>
    <w:lsdException w:name="List Bullet 5" w:semiHidden="1" w:unhideWhenUsed="1"/>
    <w:lsdException w:name="List 2" w:semiHidden="1" w:unhideWhenUsed="1"/>
    <w:lsdException w:name="index 5" w:semiHidden="1" w:unhideWhenUsed="1"/>
    <w:lsdException w:name="Body Text 3" w:semiHidden="1" w:unhideWhenUsed="1"/>
    <w:lsdException w:name="toc 6" w:uiPriority="39" w:semiHidden="1" w:unhideWhenUsed="1"/>
    <w:lsdException w:name="heading 2" w:uiPriority="9" w:semiHidden="1" w:unhideWhenUsed="1" w:qFormat="1"/>
    <w:lsdException w:name="List Continue 3" w:semiHidden="1" w:unhideWhenUsed="1"/>
    <w:lsdException w:name="toc 5" w:uiPriority="39" w:semiHidden="1" w:unhideWhenUsed="1"/>
    <w:lsdException w:name="Body Text 2" w:semiHidden="1" w:unhideWhenUsed="1"/>
    <w:lsdException w:name="heading 7" w:uiPriority="9" w:semiHidden="1" w:unhideWhenUsed="1" w:qFormat="1"/>
    <w:lsdException w:name="envelope address" w:semiHidden="1" w:unhideWhenUsed="1"/>
    <w:lsdException w:name="index 2" w:semiHidden="1" w:unhideWhenUsed="1"/>
    <w:lsdException w:name="List" w:semiHidden="1" w:unhideWhenUsed="1"/>
    <w:lsdException w:name="List 3" w:semiHidden="1" w:unhideWhenUsed="1"/>
    <w:lsdException w:name="Note Heading" w:semiHidden="1" w:unhideWhenUsed="1"/>
    <w:lsdException w:name="List Number 2" w:semiHidden="1" w:unhideWhenUsed="1"/>
    <w:lsdException w:name="toc 3" w:uiPriority="39" w:semiHidden="1" w:unhideWhenUsed="1"/>
    <w:lsdException w:name="endnote reference" w:semiHidden="1" w:unhideWhenUsed="1"/>
    <w:lsdException w:name="Body Text Indent" w:semiHidden="1" w:unhideWhenUsed="1"/>
    <w:lsdException w:name="Closing" w:semiHidden="1" w:unhideWhenUsed="1"/>
    <w:lsdException w:name="FollowedHyperlink" w:semiHidden="1" w:unhideWhenUsed="1"/>
    <w:lsdException w:name="table of authorities" w:semiHidden="1" w:unhideWhenUsed="1"/>
    <w:lsdException w:name="index 8" w:semiHidden="1" w:unhideWhenUsed="1"/>
    <w:lsdException w:name="index 6" w:semiHidden="1" w:unhideWhenUsed="1"/>
    <w:lsdException w:name="endnote text" w:semiHidden="1" w:unhideWhenUsed="1"/>
    <w:lsdException w:name="List Continue 4" w:semiHidden="1" w:unhideWhenUsed="1"/>
    <w:lsdException w:name="Date" w:semiHidden="1" w:unhideWhenUsed="1"/>
    <w:lsdException w:name="List Number" w:semiHidden="1" w:unhideWhenUsed="1"/>
    <w:lsdException w:name="toc 9" w:uiPriority="39" w:semiHidden="1" w:unhideWhenUsed="1"/>
    <w:lsdException w:name="List Bullet" w:semiHidden="1" w:unhideWhenUsed="1"/>
    <w:lsdException w:name="toa heading" w:semiHidden="1" w:unhideWhenUsed="1"/>
    <w:lsdException w:name="Signature" w:semiHidden="1" w:unhideWhenUsed="1"/>
    <w:lsdException w:name="footnote reference" w:semiHidden="1" w:unhideWhenUsed="1"/>
    <w:lsdException w:name="List Bullet 3" w:semiHidden="1" w:unhideWhenUsed="1"/>
    <w:lsdException w:name="heading 8" w:uiPriority="9" w:semiHidden="1" w:unhideWhenUsed="1" w:qFormat="1"/>
    <w:lsdException w:name="annotation reference" w:semiHidden="1" w:unhideWhenUsed="1"/>
    <w:lsdException w:name="List Number 3" w:semiHidden="1" w:unhideWhenUsed="1"/>
    <w:lsdException w:name="heading 1" w:uiPriority="9" w:qFormat="1"/>
    <w:lsdException w:name="index 4" w:semiHidden="1" w:unhideWhenUsed="1"/>
    <w:lsdException w:name="page number" w:semiHidden="1" w:unhideWhenUsed="1"/>
    <w:lsdException w:name="heading 6" w:uiPriority="9" w:semiHidden="1" w:unhideWhenUsed="1" w:qFormat="1"/>
    <w:lsdException w:name="toc 2" w:uiPriority="39" w:semiHidden="1" w:unhideWhenUsed="1"/>
    <w:lsdException w:name="Normal" w:uiPriority="0" w:qFormat="1"/>
    <w:lsdException w:name="Message Header" w:semiHidden="1" w:unhideWhenUsed="1"/>
    <w:lsdException w:name="index 9" w:semiHidden="1" w:unhideWhenUsed="1"/>
    <w:lsdException w:name="List Continue 5" w:semiHidden="1" w:unhideWhenUsed="1"/>
    <w:lsdException w:name="index 3" w:semiHidden="1" w:unhideWhenUsed="1"/>
    <w:lsdException w:name="List Bullet 4" w:semiHidden="1" w:unhideWhenUsed="1"/>
    <w:lsdException w:name="heading 9" w:uiPriority="9" w:semiHidden="1" w:unhideWhenUsed="1" w:qFormat="1"/>
    <w:lsdException w:name="index 7" w:semiHidden="1" w:unhideWhenUsed="1"/>
    <w:lsdException w:name="caption" w:uiPriority="35" w:semiHidden="1" w:unhideWhenUsed="1" w:qFormat="1"/>
    <w:lsdException w:name="toc 1" w:uiPriority="39" w:semiHidden="1" w:unhideWhenUsed="1"/>
    <w:lsdException w:name="table of figures" w:semiHidden="1" w:unhideWhenUsed="1"/>
    <w:lsdException w:name="header" w:semiHidden="1" w:unhideWhenUsed="1"/>
    <w:lsdException w:name="Body Text Indent 2" w:semiHidden="1" w:unhideWhenUsed="1"/>
    <w:lsdException w:name="List Number 4" w:semiHidden="1" w:unhideWhenUsed="1"/>
    <w:lsdException w:name="List Continue" w:semiHidden="1" w:unhideWhenUsed="1"/>
    <w:lsdException w:name="line number" w:semiHidden="1" w:unhideWhenUsed="1"/>
    <w:lsdException w:name="Subtitle" w:uiPriority="11" w:qFormat="1"/>
    <w:lsdException w:name="Body Text Indent 3" w:semiHidden="1" w:unhideWhenUsed="1"/>
    <w:lsdException w:name="Normal Indent" w:semiHidden="1" w:unhideWhenUsed="1"/>
    <w:lsdException w:name="toc 8" w:uiPriority="39" w:semiHidden="1" w:unhideWhenUsed="1"/>
    <w:lsdException w:name="footnote text" w:semiHidden="1" w:unhideWhenUsed="1"/>
    <w:lsdException w:name="heading 3" w:uiPriority="9" w:semiHidden="1" w:unhideWhenUsed="1" w:qFormat="1"/>
    <w:lsdException w:name="List 5" w:semiHidden="1" w:unhideWhenUsed="1"/>
    <w:lsdException w:name="index 1" w:semiHidden="1" w:unhideWhenUsed="1"/>
    <w:lsdException w:name="Hyperlink" w:semiHidden="1" w:unhideWhenUsed="1"/>
    <w:lsdException w:name="toc 7" w:uiPriority="39" w:semiHidden="1" w:unhideWhenUsed="1"/>
    <w:lsdException w:name="Body Text First Indent 2" w:semiHidden="1" w:unhideWhenUsed="1"/>
    <w:lsdException w:name="footer" w:semiHidden="1" w:unhideWhenUsed="1"/>
    <w:lsdException w:name="index heading" w:semiHidden="1" w:unhideWhenUsed="1"/>
    <w:lsdException w:name="List 4" w:semiHidden="1" w:unhideWhenUsed="1"/>
    <w:lsdException w:name="toc 4" w:uiPriority="39" w:semiHidden="1" w:unhideWhenUsed="1"/>
    <w:lsdException w:name="macro" w:semiHidden="1" w:unhideWhenUsed="1"/>
    <w:lsdException w:name="Default Paragraph Font" w:uiPriority="1" w:semiHidden="1" w:unhideWhenUsed="1"/>
    <w:lsdException w:name="Body Text" w:semiHidden="1" w:unhideWhenUsed="1"/>
  </w:latentStyles>
  <w:style w:type="paragraph" w:styleId="000003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8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4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2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0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2026-10-28T19:43:41Z</dcterms:created>
  <dcterms:modified xsi:type="dcterms:W3CDTF">2026-10-28T19:43:41Z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"01a18250afa6796fb25f849af24d7d4a", "ReservedCode1": "", "ContentPropagator": "00119111010856365494821B355", "PropagateID": "01a18250afa6796fb25f849af24d7d4a", "ReservedCode2": ""}}</vt:lpwstr>
  </property>
</Properties>
</file>