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spacing w:before="0" w:after="480" w:line="408"/>
        <w:ind w:left="0" w:right="0"/>
        <w:jc w:val="center"/>
        <w:rPr>
          <w:color w:val="5a6472"/>
        </w:rPr>
      </w:pPr>
      <w:r>
        <w:rPr>
          <w:rFonts w:hint="eastAsia" w:ascii="SimHei" w:hAnsi="SimHei" w:eastAsia="SimHei" w:cs="SimHei"/>
          <w:color w:val="5a6472"/>
          <w:spacing w:val="120"/>
          <w:sz w:val="26"/>
        </w:rPr>
        <w:t>技术设计文档</w:t>
      </w:r>
    </w:p>
    <w:p w14:paraId="00000002">
      <w:pPr>
        <w:spacing w:before="0" w:after="960" w:line="312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64"/>
        </w:rPr>
        <w:t>众源感知解译工具</w:t>
      </w:r>
    </w:p>
    <w:tbl>
      <w:tblPr>
        <w:tblW w:w="5200" w:type="dxa"/>
        <w:jc w:val="center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2600"/>
      </w:tblGrid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3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文档版本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4">
            <w:pPr>
              <w:jc w:val="center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v0.5.3</w:t>
            </w:r>
          </w:p>
        </w:tc>
      </w:tr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5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编制日期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6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2026 年 10 月</w:t>
            </w:r>
          </w:p>
        </w:tc>
      </w:tr>
    </w:tbl>
    <w:p w14:paraId="00000007">
      <w:pPr>
        <w:sectPr>
          <w:type w:val="nextPage"/>
          <w:pgSz w:w="11906" w:h="16838"/>
          <w:pgMar w:top="1440" w:right="1800" w:bottom="1440" w:left="1800" w:header="851" w:footer="992" w:gutter="0"/>
          <w:vAlign w:val="center"/>
        </w:sectPr>
      </w:pPr>
    </w:p>
    <w:p w14:paraId="00000008">
      <w:pPr>
        <w:spacing w:before="240" w:after="120"/>
      </w:pPr>
      <w:r>
        <w:rPr>
          <w:rFonts w:hint="eastAsia"/>
          <w:b w:val="1"/>
        </w:rPr>
        <w:t>目　　录</w:t>
      </w:r>
    </w:p>
    <w:p w14:paraId="00000009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一、设计目标与原则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　界面层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　桥接层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　解译引擎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三、关键算法设计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四、数据格式与接口约定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五、可靠性与质量保障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六、界面设计要点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3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4">
      <w:pPr>
        <w:pStyle w:val="000004"/>
        <w:keepNext w:val="1"/>
        <w:keepLines w:val="1"/>
        <w:pageBreakBefore w:val="1"/>
        <w:pBdr>
          <w:bottom w:val="single" w:color="1f3864" w:sz="12" w:space="6"/>
        </w:pBdr>
        <w:spacing w:before="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3864"/>
          <w:sz w:val="32"/>
        </w:rPr>
        <w:t>一、设计目标与原则</w:t>
      </w:r>
      <w:bookmarkEnd w:id="1"/>
    </w:p>
    <w:p w14:paraId="00000015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本章明确工具的建设目标与应遵循的设计原则，作为总体架构、模块划分与算法设计的依据。</w:t>
      </w:r>
    </w:p>
    <w:p w14:paraId="00000016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1.1　设计目标</w:t>
      </w:r>
    </w:p>
    <w:p w14:paraId="00000017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在测绘数据保密约束下，实现车载全景影像与无人机正射影像的本地自动解译，输出与既有 GIS 体系直接衔接的矢量成果，并提供与存量地图的要素级变化比对。</w:t>
      </w:r>
    </w:p>
    <w:p w14:paraId="00000018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1.2　设计原则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原则</w:t>
            </w:r>
          </w:p>
        </w:tc>
        <w:tc>
          <w:tcPr>
            <w:tcW w:w="647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落实方式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数据不出内网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检测模型本地推理，全流程无网络请求，无外部服务依赖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零安装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PyInstaller 打包为独立目录，Python 运行时与全部二进制依赖随包分发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口径一致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成果坐标系取自存量参考文件；提取规则固化于代码，不依赖人工经验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异常隔离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单幅影像、单个导出格式的异常不影响整体任务，异常信息逐条落盘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双平台一致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 与 macOS 共用同一套界面与流水线代码，构建由 CI 统一产出</w:t>
            </w:r>
          </w:p>
        </w:tc>
      </w:tr>
    </w:tbl>
    <w:p w14:paraId="00000025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f3864"/>
          <w:sz w:val="32"/>
        </w:rPr>
        <w:t>二、总体架构</w:t>
      </w:r>
      <w:bookmarkEnd w:id="2"/>
    </w:p>
    <w:p w14:paraId="00000026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系统为单进程桌面应用，分为界面层、桥接层与解译引擎三层。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5f6f8"/>
            <w:tcMar>
              <w:top w:w="180" w:type="dxa"/>
              <w:bottom w:w="180" w:type="dxa"/>
            </w:tcMar>
            <w:vAlign w:val="center"/>
          </w:tcPr>
          <w:p w14:paraId="00000027">
            <w:pPr>
              <w:rPr>
                <w:color w:val="1a1a1a"/>
              </w:rPr>
            </w:pPr>
            <w:r>
              <w:rPr>
                <w:rFonts w:ascii="monospace" w:hAnsi="monospace" w:eastAsia="monospace" w:cs="monospace"/>
              </w:rPr>
              <w:t>┌──────────────────────────────────────────────────────┐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             界面层（HTML/CSS/JS）   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车载影像提取 │ 正射影像提取 │ 变化比对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进度队列     │ 运行日志     │ 统计结果/预览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└────────────────────────┬─────────────────────────────┘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             │ pywebview JS Bridge（本地 API）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┌────────────────────────▼─────────────────────────────┐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             桥接层（api.py）        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任务启停 │ 状态轮询 │ 目录选择 │ 预览图通道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└────────────────────────┬─────────────────────────────┘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┌────────────────────────▼─────────────────────────────┐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             解译引擎（pipeline/）   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车载流水线：                               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│    data_loader → undistort → detector / lane_detector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│      → georeference → change_detector → exporter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正射流水线：                          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 分块读取 → 分割 → 路面掩膜 → 走廊约束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   → 矢量化 → 共线合并 → GDB 导出 → 预览渲染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比对引擎：comparator（线/面/点三类匹配）    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 w14:paraId="00000028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a1a1a"/>
          <w:sz w:val="27"/>
        </w:rPr>
        <w:t>2.1　界面层</w:t>
      </w:r>
      <w:bookmarkEnd w:id="3"/>
    </w:p>
    <w:p w14:paraId="00000029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基于 pywebview 加载本地 HTML 页面（系统原生 WebView，macOS 为 WKWebView，Windows 为 WebView2），界面资源随包分发。界面代码位于 web/ 目录，单文件预览副本由 tools/build_preview.py 生成。</w:t>
      </w:r>
    </w:p>
    <w:p w14:paraId="0000002A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界面以设计令牌（tokens.css）统一色彩、字号与间距体系，三个工作台共用一套组件样式；</w:t>
      </w:r>
    </w:p>
    <w:p w14:paraId="0000002B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页面按整屏布局设计，列表、表格与日志在卡片内部独立滚动，常规窗口尺寸下无整页滚动。</w:t>
      </w:r>
    </w:p>
    <w:p w14:paraId="0000002C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a1a1a"/>
          <w:sz w:val="27"/>
        </w:rPr>
        <w:t>2.2　桥接层</w:t>
      </w:r>
      <w:bookmarkEnd w:id="4"/>
    </w:p>
    <w:p w14:paraId="0000002D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api.py 通过 pywebview 的 JS Bridge 暴露本地 API，主要接口如下：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2"/>
        <w:gridCol w:w="4984"/>
      </w:tblGrid>
      <w:tr>
        <w:trPr>
          <w:tblHeader w:val="1"/>
        </w:trPr>
        <w:tc>
          <w:tcPr>
            <w:tcW w:w="3322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接口</w:t>
            </w:r>
          </w:p>
        </w:tc>
        <w:tc>
          <w:tcPr>
            <w:tcW w:w="498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职责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start_pipeline / get_status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启动车载解译任务；轮询任务状态（进度、当前文件、逐文件明细、日志、结果）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start_dom / get_dom_status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启动正射提取任务；轮询状态与阶段提示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start_compare / get_cmp_status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启动变化比对；轮询比对结果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scan_directory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扫描数据源目录，报告可配对影像数量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preview_image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 base64 通道返回结果预览图，规避 WebView 对本地中文路径 file:// 协议的限制</w:t>
            </w:r>
          </w:p>
        </w:tc>
      </w:tr>
      <w:tr>
        <w:trPr/>
        <w:tc>
          <w:tcPr>
            <w:tcW w:w="33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pick_folder / pick_file / open_folder</w:t>
            </w:r>
          </w:p>
        </w:tc>
        <w:tc>
          <w:tcPr>
            <w:tcW w:w="498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系统目录/文件选择对话框与打开目录</w:t>
            </w:r>
          </w:p>
        </w:tc>
      </w:tr>
    </w:tbl>
    <w:p w14:paraId="0000003C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任务状态由 RunState 对象承载（加锁保护），包含 state、progress、total、current、files、logs、result、error 字段；车载、正射、比对三类任务各持有独立状态实例。任务线程同时在输出目录建立落盘日志文件，界面日志与文件日志同源。</w:t>
      </w:r>
    </w:p>
    <w:p w14:paraId="0000003D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5" w:name="section-2-3"/>
      <w:r>
        <w:rPr>
          <w:rFonts w:hint="eastAsia" w:ascii="SimHei" w:hAnsi="SimHei" w:eastAsia="SimHei" w:cs="SimHei"/>
          <w:b w:val="1"/>
          <w:color w:val="1a1a1a"/>
          <w:sz w:val="27"/>
        </w:rPr>
        <w:t>2.3　解译引擎</w:t>
      </w:r>
      <w:bookmarkEnd w:id="5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5"/>
        <w:gridCol w:w="5981"/>
      </w:tblGrid>
      <w:tr>
        <w:trPr>
          <w:tblHeader w:val="1"/>
        </w:trPr>
        <w:tc>
          <w:tcPr>
            <w:tcW w:w="232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模块</w:t>
            </w:r>
          </w:p>
        </w:tc>
        <w:tc>
          <w:tcPr>
            <w:tcW w:w="598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职责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data_loader.py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数据源扫描、.hdi 位姿解析、影像—位姿按批次与时间戳配对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undistort.py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鱼眼畸变校正，球面投影映射表构建与缓存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detector.py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YOLO11 ONNX 推理封装，置信度过滤、NMS 后处理、业务类别归并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lane_detector.py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车道线提取（多重约束流水线）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georeference.py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位姿与相机模型联合解算，像素坐标反投至地面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change_detector.py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车载成果多批次时序变化对比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exporter.py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SHP / File GDB 矢量导出与投影文件生成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processor.py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车载任务调度与进度回调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dom_extractor.py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正射影像分块读取、标线分割、矢量化、共线合并、GDB 导出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comparator.py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要素级变化比对（线/面/点匹配策略）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imgio.py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图像文件 Unicode 安全读写，屏蔽跨平台路径编码差异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config.py</w:t>
            </w:r>
          </w:p>
        </w:tc>
        <w:tc>
          <w:tcPr>
            <w:tcW w:w="598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参数与类别口径定义</w:t>
            </w:r>
          </w:p>
        </w:tc>
      </w:tr>
    </w:tbl>
    <w:p w14:paraId="00000056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6" w:name="section-3"/>
      <w:r>
        <w:rPr>
          <w:rFonts w:hint="eastAsia" w:ascii="SimHei" w:hAnsi="SimHei" w:eastAsia="SimHei" w:cs="SimHei"/>
          <w:b w:val="1"/>
          <w:color w:val="1f3864"/>
          <w:sz w:val="32"/>
        </w:rPr>
        <w:t>三、关键算法设计</w:t>
      </w:r>
      <w:bookmarkEnd w:id="6"/>
    </w:p>
    <w:p w14:paraId="00000057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本章给出解译链路中目标检测、鱼眼畸变校正、车道线提取与地理参考四个关键环节的算法设计，包括模型选型、参数配置与工程实现要点。</w:t>
      </w:r>
    </w:p>
    <w:p w14:paraId="00000058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3.1　目标检测</w:t>
      </w:r>
    </w:p>
    <w:p w14:paraId="00000059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模型：YOLO11n，动态尺寸导出，推理输入 1536（常规 640 的 2.4 倍），提升信号灯、标志牌、行人等小目标召回；单幅 CPU 推理约 0.16 秒；</w:t>
      </w:r>
    </w:p>
    <w:p w14:paraId="0000005A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运行时：ONNX Runtime CPU EP，避免引入 CUDA 依赖；</w:t>
      </w:r>
    </w:p>
    <w:p w14:paraId="0000005B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后处理：置信度阈值（默认 0.15，可配）过滤与 NMS 由代码实现，不依赖训练框架；</w:t>
      </w:r>
    </w:p>
    <w:p w14:paraId="0000005C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类别归并：模型输出按业务口径归并为动态障碍、交通标志、信号灯、路侧设施四大类。</w:t>
      </w:r>
    </w:p>
    <w:p w14:paraId="0000005D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3.2　鱼眼畸变校正</w:t>
      </w:r>
    </w:p>
    <w:p w14:paraId="0000005E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采用球面投影模型，使用相机内参（fx/fy/cx/cy）与畸变系数（k1/k2）构建像素级校正映射表并缓存；逐幅影像按映射重采样输出接近针孔成像的纠正影像，供检测与地理参考共用。</w:t>
      </w:r>
    </w:p>
    <w:p w14:paraId="0000005F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3.3　车道线提取</w:t>
      </w:r>
    </w:p>
    <w:p w14:paraId="00000060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流水线由五重约束串联，逐级剔除非标线响应：</w:t>
      </w:r>
    </w:p>
    <w:p w14:paraId="00000061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HSV 白/黄标线颜色掩膜与 Canny 边缘门控相交，抑制天空与大面积亮区；</w:t>
      </w:r>
    </w:p>
    <w:p w14:paraId="00000062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Hough 直线段逐段沿线采样做颜色占比评分（阈值 55%），排除护栏、车顶支架等灰亮结构；</w:t>
      </w:r>
    </w:p>
    <w:p w14:paraId="00000063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剔除本车平台遮挡区（画面底部中央）；</w:t>
      </w:r>
    </w:p>
    <w:p w14:paraId="00000064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分左右侧 RANSAC 直线拟合（每侧至多 2 条），要求满足向消失点收拢的方向约束与消失点位置约束；</w:t>
      </w:r>
    </w:p>
    <w:p w14:paraId="00000065">
      <w:pPr>
        <w:numPr>
          <w:ilvl w:val="0"/>
          <w:numId w:val="2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采样点仅取有观测证据的区间，不向遮挡区域外推。</w:t>
      </w:r>
    </w:p>
    <w:p w14:paraId="00000066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3.4　地理参考</w:t>
      </w:r>
    </w:p>
    <w:p w14:paraId="00000067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利用 .hdi 位姿提供的位置与姿态，结合相机模型将像素坐标反投至地面，得到米制投影坐标，同时计算目标离车水平距离。投影定义直接取自参考成果 .prj，保证成果与既有底图坐标一致。</w:t>
      </w:r>
    </w:p>
    <w:p w14:paraId="00000068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3.5　正射影像标线提取</w:t>
      </w:r>
    </w:p>
    <w:p w14:paraId="00000069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面向单幅可达 5 万×8 万像素的大幅面 DOM 设计，处理流程如下：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阶段</w:t>
            </w:r>
          </w:p>
        </w:tc>
        <w:tc>
          <w:tcPr>
            <w:tcW w:w="647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设计要点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分块读取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2048 像素分块、256 像素重叠；重叠带要素按质心去重，避免边界重复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局部对比度分割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标线灰度减去周边中值抑制大块白色屋顶；低饱和度约束取白色标线，HSV 色域取黄色标线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路面掩膜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灰调、低饱和、低纹理连通域提取路面区域，仅保留路面内要素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走廊约束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以存量线状道路要素（LTSL 交通标线 / LFCL 附属设施线）缓冲 ±8 m 构建走廊，走廊外一律剔除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矢量化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最小外接矩形按长短轴分类：长宽比 ≥ 3 为线状，否则为面状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共线合并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端点网格索引（3×3 邻域检索）贪心合并共线碎片，配合方向一致性校验（夹角余弦 ≥ 0.95）；将全量两两比对优化为近线性复杂度，支撑万级要素规模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坐标统一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DOM（EPSG:3857）与存量成果（武汉本地 TM）经 proj4 参数互转，输出坐标系与存量一致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尾段反馈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共线合并、GDB 写出、预览渲染三阶段计入进度刻度并输出日志，消除长耗时阶段的无反馈窗口</w:t>
            </w:r>
          </w:p>
        </w:tc>
      </w:tr>
    </w:tbl>
    <w:p w14:paraId="0000007C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3.6　要素级变化比对</w:t>
      </w:r>
    </w:p>
    <w:p w14:paraId="0000007D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比对按几何类型自动配对图层（线对线、面对面、点点对应），匹配规则：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要素类型</w:t>
            </w:r>
          </w:p>
        </w:tc>
        <w:tc>
          <w:tcPr>
            <w:tcW w:w="647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匹配规则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线（标线）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以存量为中心的覆盖式匹配：存量线被新线缓冲重叠覆盖 ≥ 50% 判匹配；方向按最近点局部切向校验，兼容长折线；无覆盖且 3 m 内存在平行新线判疑似改动，否则判缺失；未被覆盖的新线判疑似新增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面（面状标线）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以新面被存量面覆盖比例为主，IoU ≥ 0.5 或覆盖 ≥ 80% 判匹配，兼容斑马线整体与单条条纹的粒度差异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点（标志设施）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3 m 内最近邻一对一贪心匹配；新成果无该类要素时自动跳过，不误报缺失</w:t>
            </w:r>
          </w:p>
        </w:tc>
      </w:tr>
    </w:tbl>
    <w:p w14:paraId="00000086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变化要素按「chg_类型_几何」分图层组织，附 SRC（来源图层）与 NOTE（判定原因）字段，便于人工复核。</w:t>
      </w:r>
    </w:p>
    <w:p w14:paraId="00000087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7" w:name="section-4"/>
      <w:r>
        <w:rPr>
          <w:rFonts w:hint="eastAsia" w:ascii="SimHei" w:hAnsi="SimHei" w:eastAsia="SimHei" w:cs="SimHei"/>
          <w:b w:val="1"/>
          <w:color w:val="1f3864"/>
          <w:sz w:val="32"/>
        </w:rPr>
        <w:t>四、数据格式与接口约定</w:t>
      </w:r>
      <w:bookmarkEnd w:id="7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2491"/>
        <w:gridCol w:w="3822"/>
      </w:tblGrid>
      <w:tr>
        <w:trPr>
          <w:tblHeader w:val="1"/>
        </w:trPr>
        <w:tc>
          <w:tcPr>
            <w:tcW w:w="1993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数据</w:t>
            </w:r>
          </w:p>
        </w:tc>
        <w:tc>
          <w:tcPr>
            <w:tcW w:w="249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格式</w:t>
            </w:r>
          </w:p>
        </w:tc>
        <w:tc>
          <w:tcPr>
            <w:tcW w:w="3822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8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车载位姿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.hdi（21 列文本）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列定义经真实数据反查确认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正射影像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GeoTIFF / BigTIFF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含地理参考，EPSG:3857 或等效投影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存量成果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File GDB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LTSL/LFCL 等图层，武汉本地 TM 投影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车载矢量成果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SHP（pyshp 写出，附 .prj）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纯 Python 实现，无外部二进制依赖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正射/比对成果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File GDB（pyogrio OpenFileGDB 驱动写出）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ArcGIS 与 QGIS 可直接读取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比对报告</w:t>
            </w:r>
          </w:p>
        </w:tc>
        <w:tc>
          <w:tcPr>
            <w:tcW w:w="249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JSON</w:t>
            </w:r>
          </w:p>
        </w:tc>
        <w:tc>
          <w:tcPr>
            <w:tcW w:w="3822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机读格式，含总量与分类明细</w:t>
            </w:r>
          </w:p>
        </w:tc>
      </w:tr>
    </w:tbl>
    <w:p w14:paraId="0000009D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8" w:name="section-5"/>
      <w:r>
        <w:rPr>
          <w:rFonts w:hint="eastAsia" w:ascii="SimHei" w:hAnsi="SimHei" w:eastAsia="SimHei" w:cs="SimHei"/>
          <w:b w:val="1"/>
          <w:color w:val="1f3864"/>
          <w:sz w:val="32"/>
        </w:rPr>
        <w:t>五、可靠性与质量保障</w:t>
      </w:r>
      <w:bookmarkEnd w:id="8"/>
    </w:p>
    <w:p w14:paraId="0000009E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本章说明系统在异常隔离、路径与编码兼容、交付质量验证、二进制兼容与持续集成方面的可靠性与质量保障措施。</w:t>
      </w:r>
    </w:p>
    <w:p w14:paraId="0000009F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5.1　异常隔离</w:t>
      </w:r>
    </w:p>
    <w:p w14:paraId="000000A0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单幅影像处理异常不中断任务，失败文件在队列与日志中标记，任务结束统一汇总；</w:t>
      </w:r>
    </w:p>
    <w:p w14:paraId="000000A1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SHP 与 GDB 导出相互独立，任一格式异常不影响另一格式与主流程；</w:t>
      </w:r>
    </w:p>
    <w:p w14:paraId="000000A2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比对中某类要素在新成果缺失时自动跳过，避免结构性误报。</w:t>
      </w:r>
    </w:p>
    <w:p w14:paraId="000000A3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5.2　文件路径与编码兼容</w:t>
      </w:r>
    </w:p>
    <w:p w14:paraId="000000B0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Windows 本地路径由系统按 ANSI 代码页（简体中文环境为 GBK）编码，而 OpenCV 的图像写入接口沿用 C 标准库以窄字符打开文件，遇到含中文的目录名或文件名时，会写出乱码文件名或直接失败。为此，全部图像落盘（车载逐幅标注预览图、正射叠加预览、比对预览）统一交由 pipeline/imgio.py 处理：先在内存中完成 PNG 编码，再以二进制方式写入目标路径，路径全程以 Unicode 传递。该处理使中文、空格及特殊字符路径在三类任务中表现一致，且不依赖系统区域设置；编码失败时抛出明确异常，由上层记入运行日志。</w:t>
      </w:r>
    </w:p>
    <w:p w14:paraId="000000A3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5.3　冻结包自检</w:t>
      </w:r>
    </w:p>
    <w:p w14:paraId="000000A4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打包产物内置四项自检（环境变量 AVT_SELFTEST 触发），发布前逐项执行：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A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自检项</w:t>
            </w:r>
          </w:p>
        </w:tc>
        <w:tc>
          <w:tcPr>
            <w:tcW w:w="664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A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</w:tr>
      <w:tr>
        <w:trPr/>
        <w:tc>
          <w:tcPr>
            <w:tcW w:w="166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gdb</w:t>
            </w:r>
          </w:p>
        </w:tc>
        <w:tc>
          <w:tcPr>
            <w:tcW w:w="664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File GDB 导出链路（pyogrio 与 gdal_data/proj_data 完整性）</w:t>
            </w:r>
          </w:p>
        </w:tc>
      </w:tr>
      <w:tr>
        <w:trPr/>
        <w:tc>
          <w:tcPr>
            <w:tcW w:w="166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rasterio</w:t>
            </w:r>
          </w:p>
        </w:tc>
        <w:tc>
          <w:tcPr>
            <w:tcW w:w="664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正射影像读取链路（GDAL/PROJ 二进制依赖）</w:t>
            </w:r>
          </w:p>
        </w:tc>
      </w:tr>
      <w:tr>
        <w:trPr/>
        <w:tc>
          <w:tcPr>
            <w:tcW w:w="166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dom</w:t>
            </w:r>
          </w:p>
        </w:tc>
        <w:tc>
          <w:tcPr>
            <w:tcW w:w="664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正射提取端到端分割（对给定 TIF 执行并校验掩膜像素数）</w:t>
            </w:r>
          </w:p>
        </w:tc>
      </w:tr>
      <w:tr>
        <w:trPr/>
        <w:tc>
          <w:tcPr>
            <w:tcW w:w="1661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deps</w:t>
            </w:r>
          </w:p>
        </w:tc>
        <w:tc>
          <w:tcPr>
            <w:tcW w:w="664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pyproj/geopandas/pyogrio 导入与 EPSG:3857 坐标往返</w:t>
            </w:r>
          </w:p>
        </w:tc>
      </w:tr>
    </w:tbl>
    <w:p w14:paraId="000000AF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5.4　打包与二进制兼容处理</w:t>
      </w:r>
    </w:p>
    <w:p w14:paraId="000000B0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macOS 平台存在 rasterio 与 pyproj 捆绑同名 libproj 动态库但二进制不兼容的问题（两者分别导出 GDAL 内部符号与 PROJ 公共符号）。构建脚本在 PyInstaller COLLECT 与 BUNDLE 两个阶段之后对落盘产物执行修正：顶层保留 rasterio 版本、pyproj 目录内恢复自身版本，并通过 install_name_tool 将 pyproj 扩展的库引用锁定至目录内副本，最后重新签名。该问题及修复由上述自检项覆盖。</w:t>
      </w:r>
    </w:p>
    <w:p w14:paraId="000000B1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5.5　持续集成</w:t>
      </w:r>
    </w:p>
    <w:p w14:paraId="000000B2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GitHub Actions 在 master 分支推送与版本标签（v*）推送时自动执行双平台构建：导出 ONNX 模型、PyInstaller 打包、产物压缩、上传制品；版本标签构建额外创建 GitHub Release 并附 macOS（arm64）与 Windows（x64）安装包。</w:t>
      </w:r>
    </w:p>
    <w:p w14:paraId="000000B3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9" w:name="section-6"/>
      <w:r>
        <w:rPr>
          <w:rFonts w:hint="eastAsia" w:ascii="SimHei" w:hAnsi="SimHei" w:eastAsia="SimHei" w:cs="SimHei"/>
          <w:b w:val="1"/>
          <w:color w:val="1f3864"/>
          <w:sz w:val="32"/>
        </w:rPr>
        <w:t>六、界面设计要点</w:t>
      </w:r>
      <w:bookmarkEnd w:id="9"/>
    </w:p>
    <w:p w14:paraId="000000B4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单一主题色（#3E63D8）贯穿导航、按钮与进度条，进度条采用蓝绿渐变表征任务推进；</w:t>
      </w:r>
    </w:p>
    <w:p w14:paraId="000000B5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三步操作指引（选择数据 → 选择输出 → 开始处理）随任务状态推进高亮；</w:t>
      </w:r>
    </w:p>
    <w:p w14:paraId="000000B6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文件队列支持状态筛选，处理中文件高亮标记；日志逐行带时间戳；</w:t>
      </w:r>
    </w:p>
    <w:p w14:paraId="000000B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预览图组件内置滚轮缩放（1–10 倍，以光标为中心）、拖动平移与双击还原，缩放倍率受限防止过度放大失真；</w:t>
      </w:r>
    </w:p>
    <w:p w14:paraId="000000B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结果区以轮询快照为唯一数据源：任务进入终态即停止轮询并整体重建结果区；预览图经 base64 通道异步返回，追加前校验本次渲染序号，过期结果直接丢弃，保证结果区始终只呈现一张预览图，不随时间累积；</w:t>
      </w:r>
    </w:p>
    <w:p w14:paraId="000000B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卡片头（标题、路径、操作按钮）不参与压缩，路径超长按剩余空间省略，按钮不会被挤出卡片；</w:t>
      </w:r>
    </w:p>
    <w:p w14:paraId="000000B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统计卡与进度卡采用等分四列网格，列宽随容器等比收缩；卡片内部允许换行，窄窗口下数值落到第二行，既不截断也不整排折行；</w:t>
      </w:r>
    </w:p>
    <w:p w14:paraId="000000B8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界面自动化回归基于 Playwright 无头浏览器执行，覆盖布局、状态流转与交互行为。</w:t>
      </w:r>
    </w:p>
    <w:p w14:paraId="000000B9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0" w:name="section-7"/>
      <w:r>
        <w:rPr>
          <w:rFonts w:hint="eastAsia" w:ascii="SimHei" w:hAnsi="SimHei" w:eastAsia="SimHei" w:cs="SimHei"/>
          <w:b w:val="1"/>
          <w:color w:val="1f3864"/>
          <w:sz w:val="32"/>
        </w:rPr>
        <w:t>七、目录结构</w:t>
      </w:r>
      <w:bookmarkEnd w:id="1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5f6f8"/>
            <w:tcMar>
              <w:top w:w="180" w:type="dxa"/>
              <w:bottom w:w="180" w:type="dxa"/>
            </w:tcMar>
            <w:vAlign w:val="center"/>
          </w:tcPr>
          <w:p w14:paraId="000000BA">
            <w:pPr>
              <w:rPr>
                <w:color w:val="1a1a1a"/>
              </w:rPr>
            </w:pPr>
            <w:r>
              <w:rPr>
                <w:rFonts w:ascii="monospace" w:hAnsi="monospace" w:eastAsia="monospace" w:cs="monospace"/>
              </w:rPr>
              <w:t>ai_vision_tool/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app.py                 程序入口与冻结包自检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api.py                 桥接层（任务管理、状态轮询、本地 API）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pipeline/              解译引擎（见 2.3 模块划分）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web/                   界面资源（随包分发）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tools/                 预览构建等辅助脚本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build.spec             PyInstaller 打包配置（含 libproj 修正逻辑）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.github/workflows/     CI 构建与发布配置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models/                YOLO11 ONNX 模型与导出脚本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└── assets/                应用图标</w:t>
            </w:r>
          </w:p>
        </w:tc>
      </w:tr>
    </w:tbl>
    <w:p w14:paraId="000000BB">
      <w:pPr>
        <w:spacing w:before="360" w:after="150" w:line="408"/>
        <w:ind w:left="0" w:right="0"/>
        <w:jc w:val="both"/>
        <w:rPr>
          <w:color w:val="5a6472"/>
        </w:rPr>
      </w:pPr>
      <w:r>
        <w:rPr>
          <w:rFonts w:hint="eastAsia" w:ascii="SimSun" w:hAnsi="SimSun" w:eastAsia="SimSun" w:cs="SimSun"/>
          <w:color w:val="5a6472"/>
          <w:sz w:val="24"/>
        </w:rPr>
        <w:t>本文档随版本更新，内容以对应版本源码实现为准。</w:t>
      </w:r>
    </w:p>
    <w:p w14:paraId="000000BC"/>
    <w:sectPr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heading 4" w:uiPriority="9" w:semiHidden="1" w:unhideWhenUsed="1" w:qFormat="1"/>
    <w:lsdException w:name="Closing" w:semiHidden="1" w:unhideWhenUsed="1"/>
    <w:lsdException w:name="index 7" w:semiHidden="1" w:unhideWhenUsed="1"/>
    <w:lsdException w:name="index 5" w:semiHidden="1" w:unhideWhenUsed="1"/>
    <w:lsdException w:name="index 9" w:semiHidden="1" w:unhideWhenUsed="1"/>
    <w:lsdException w:name="List Bullet 4" w:semiHidden="1" w:unhideWhenUsed="1"/>
    <w:lsdException w:name="Body Text First Indent" w:semiHidden="1" w:unhideWhenUsed="1"/>
    <w:lsdException w:name="Body Text First Indent 2" w:semiHidden="1" w:unhideWhenUsed="1"/>
    <w:lsdException w:name="table of figures" w:semiHidden="1" w:unhideWhenUsed="1"/>
    <w:lsdException w:name="index 8" w:semiHidden="1" w:unhideWhenUsed="1"/>
    <w:lsdException w:name="List Continue 3" w:semiHidden="1" w:unhideWhenUsed="1"/>
    <w:lsdException w:name="toc 9" w:uiPriority="39" w:semiHidden="1" w:unhideWhenUsed="1"/>
    <w:lsdException w:name="envelope return" w:semiHidden="1" w:unhideWhenUsed="1"/>
    <w:lsdException w:name="List Number 4" w:semiHidden="1" w:unhideWhenUsed="1"/>
    <w:lsdException w:name="toc 5" w:uiPriority="39" w:semiHidden="1" w:unhideWhenUsed="1"/>
    <w:lsdException w:name="List 2" w:semiHidden="1" w:unhideWhenUsed="1"/>
    <w:lsdException w:name="Block Text" w:semiHidden="1" w:unhideWhenUsed="1"/>
    <w:lsdException w:name="Subtitle" w:uiPriority="11" w:qFormat="1"/>
    <w:lsdException w:name="index 1" w:semiHidden="1" w:unhideWhenUsed="1"/>
    <w:lsdException w:name="heading 2" w:uiPriority="9" w:semiHidden="1" w:unhideWhenUsed="1" w:qFormat="1"/>
    <w:lsdException w:name="FollowedHyperlink" w:semiHidden="1" w:unhideWhenUsed="1"/>
    <w:lsdException w:name="Body Text 2" w:semiHidden="1" w:unhideWhenUsed="1"/>
    <w:lsdException w:name="header" w:semiHidden="1" w:unhideWhenUsed="1"/>
    <w:lsdException w:name="List Bullet 2" w:semiHidden="1" w:unhideWhenUsed="1"/>
    <w:lsdException w:name="heading 6" w:uiPriority="9" w:semiHidden="1" w:unhideWhenUsed="1" w:qFormat="1"/>
    <w:lsdException w:name="toa heading" w:semiHidden="1" w:unhideWhenUsed="1"/>
    <w:lsdException w:name="List Number 3" w:semiHidden="1" w:unhideWhenUsed="1"/>
    <w:lsdException w:name="List Number" w:semiHidden="1" w:unhideWhenUsed="1"/>
    <w:lsdException w:name="Salutation" w:semiHidden="1" w:unhideWhenUsed="1"/>
    <w:lsdException w:name="caption" w:uiPriority="35" w:semiHidden="1" w:unhideWhenUsed="1" w:qFormat="1"/>
    <w:lsdException w:name="Normal Indent" w:semiHidden="1" w:unhideWhenUsed="1"/>
    <w:lsdException w:name="toc 3" w:uiPriority="39" w:semiHidden="1" w:unhideWhenUsed="1"/>
    <w:lsdException w:name="Strong" w:uiPriority="22" w:qFormat="1"/>
    <w:lsdException w:name="Default Paragraph Font" w:uiPriority="1" w:semiHidden="1" w:unhideWhenUsed="1"/>
    <w:lsdException w:name="index 6" w:semiHidden="1" w:unhideWhenUsed="1"/>
    <w:lsdException w:name="index 4" w:semiHidden="1" w:unhideWhenUsed="1"/>
    <w:lsdException w:name="heading 5" w:uiPriority="9" w:semiHidden="1" w:unhideWhenUsed="1" w:qFormat="1"/>
    <w:lsdException w:name="List Number 2" w:semiHidden="1" w:unhideWhenUsed="1"/>
    <w:lsdException w:name="List Continue 4" w:semiHidden="1" w:unhideWhenUsed="1"/>
    <w:lsdException w:name="index 3" w:semiHidden="1" w:unhideWhenUsed="1"/>
    <w:lsdException w:name="endnote reference" w:semiHidden="1" w:unhideWhenUsed="1"/>
    <w:lsdException w:name="List Bullet 5" w:semiHidden="1" w:unhideWhenUsed="1"/>
    <w:lsdException w:name="Normal" w:uiPriority="0" w:qFormat="1"/>
    <w:lsdException w:name="heading 7" w:uiPriority="9" w:semiHidden="1" w:unhideWhenUsed="1" w:qFormat="1"/>
    <w:lsdException w:name="footer" w:semiHidden="1" w:unhideWhenUsed="1"/>
    <w:lsdException w:name="toc 1" w:uiPriority="39" w:semiHidden="1" w:unhideWhenUsed="1"/>
    <w:lsdException w:name="index 2" w:semiHidden="1" w:unhideWhenUsed="1"/>
    <w:lsdException w:name="annotation reference" w:semiHidden="1" w:unhideWhenUsed="1"/>
    <w:lsdException w:name="Hyperlink" w:semiHidden="1" w:unhideWhenUsed="1"/>
    <w:lsdException w:name="Signature" w:semiHidden="1" w:unhideWhenUsed="1"/>
    <w:lsdException w:name="toc 4" w:uiPriority="39" w:semiHidden="1" w:unhideWhenUsed="1"/>
    <w:lsdException w:name="Body Text Indent 2" w:semiHidden="1" w:unhideWhenUsed="1"/>
    <w:lsdException w:name="List Number 5" w:semiHidden="1" w:unhideWhenUsed="1"/>
    <w:lsdException w:name="toc 8" w:uiPriority="39" w:semiHidden="1" w:unhideWhenUsed="1"/>
    <w:lsdException w:name="toc 2" w:uiPriority="39" w:semiHidden="1" w:unhideWhenUsed="1"/>
    <w:lsdException w:name="List" w:semiHidden="1" w:unhideWhenUsed="1"/>
    <w:lsdException w:name="List Continue" w:semiHidden="1" w:unhideWhenUsed="1"/>
    <w:lsdException w:name="Body Text" w:semiHidden="1" w:unhideWhenUsed="1"/>
    <w:lsdException w:name="footnote reference" w:semiHidden="1" w:unhideWhenUsed="1"/>
    <w:lsdException w:name="annotation text" w:semiHidden="1" w:unhideWhenUsed="1"/>
    <w:lsdException w:name="List Bullet" w:semiHidden="1" w:unhideWhenUsed="1"/>
    <w:lsdException w:name="page number" w:semiHidden="1" w:unhideWhenUsed="1"/>
    <w:lsdException w:name="endnote text" w:semiHidden="1" w:unhideWhenUsed="1"/>
    <w:lsdException w:name="Body Text Indent" w:semiHidden="1" w:unhideWhenUsed="1"/>
    <w:lsdException w:name="Date" w:semiHidden="1" w:unhideWhenUsed="1"/>
    <w:lsdException w:name="index heading" w:semiHidden="1" w:unhideWhenUsed="1"/>
    <w:lsdException w:name="Title" w:uiPriority="10" w:qFormat="1"/>
    <w:lsdException w:name="Body Text Indent 3" w:semiHidden="1" w:unhideWhenUsed="1"/>
    <w:lsdException w:name="List 5" w:semiHidden="1" w:unhideWhenUsed="1"/>
    <w:lsdException w:name="toc 6" w:uiPriority="39" w:semiHidden="1" w:unhideWhenUsed="1"/>
    <w:lsdException w:name="table of authorities" w:semiHidden="1" w:unhideWhenUsed="1"/>
    <w:lsdException w:name="List 4" w:semiHidden="1" w:unhideWhenUsed="1"/>
    <w:lsdException w:name="macro" w:semiHidden="1" w:unhideWhenUsed="1"/>
    <w:lsdException w:name="List Bullet 3" w:semiHidden="1" w:unhideWhenUsed="1"/>
    <w:lsdException w:name="envelope address" w:semiHidden="1" w:unhideWhenUsed="1"/>
    <w:lsdException w:name="heading 9" w:uiPriority="9" w:semiHidden="1" w:unhideWhenUsed="1" w:qFormat="1"/>
    <w:lsdException w:name="Message Header" w:semiHidden="1" w:unhideWhenUsed="1"/>
    <w:lsdException w:name="Note Heading" w:semiHidden="1" w:unhideWhenUsed="1"/>
    <w:lsdException w:name="heading 3" w:uiPriority="9" w:semiHidden="1" w:unhideWhenUsed="1" w:qFormat="1"/>
    <w:lsdException w:name="heading 1" w:uiPriority="9" w:qFormat="1"/>
    <w:lsdException w:name="List Continue 2" w:semiHidden="1" w:unhideWhenUsed="1"/>
    <w:lsdException w:name="List 3" w:semiHidden="1" w:unhideWhenUsed="1"/>
    <w:lsdException w:name="footnote text" w:semiHidden="1" w:unhideWhenUsed="1"/>
    <w:lsdException w:name="Body Text 3" w:semiHidden="1" w:unhideWhenUsed="1"/>
    <w:lsdException w:name="List Continue 5" w:semiHidden="1" w:unhideWhenUsed="1"/>
    <w:lsdException w:name="heading 8" w:uiPriority="9" w:semiHidden="1" w:unhideWhenUsed="1" w:qFormat="1"/>
    <w:lsdException w:name="toc 7" w:uiPriority="39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2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2026-10-28T19:49:05Z</dcterms:created>
  <dcterms:modified xsi:type="dcterms:W3CDTF">2026-10-28T19:49:05Z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"01a182547621789bb3d211b0c6342410", "ReservedCode1": "", "ContentPropagator": "00119111010856365494821B355", "PropagateID": "01a182547621789bb3d211b0c6342410", "ReservedCode2": ""}}</vt:lpwstr>
  </property>
</Properties>
</file>