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pacing w:before="0" w:after="480" w:line="408"/>
        <w:ind w:left="0" w:right="0"/>
        <w:jc w:val="center"/>
        <w:rPr>
          <w:color w:val="5a6472"/>
        </w:rPr>
      </w:pPr>
      <w:r>
        <w:rPr>
          <w:rFonts w:hint="eastAsia" w:ascii="SimHei" w:hAnsi="SimHei" w:eastAsia="SimHei" w:cs="SimHei"/>
          <w:color w:val="5a6472"/>
          <w:spacing w:val="120"/>
          <w:sz w:val="26"/>
        </w:rPr>
        <w:t>测试报告</w:t>
      </w:r>
    </w:p>
    <w:p w14:paraId="00000002">
      <w:pPr>
        <w:spacing w:before="0" w:after="960" w:line="312"/>
        <w:ind w:left="0" w:right="0"/>
        <w:jc w:val="center"/>
        <w:rPr>
          <w:color w:val="1f3864"/>
        </w:rPr>
      </w:pPr>
      <w:r>
        <w:rPr>
          <w:rFonts w:hint="eastAsia" w:ascii="SimHei" w:hAnsi="SimHei" w:eastAsia="SimHei" w:cs="SimHei"/>
          <w:b w:val="1"/>
          <w:color w:val="1f3864"/>
          <w:sz w:val="64"/>
        </w:rPr>
        <w:t>众源感知解译工具</w:t>
      </w:r>
    </w:p>
    <w:tbl>
      <w:tblPr>
        <w:tblW w:w="5200" w:type="dxa"/>
        <w:jc w:val="center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00"/>
        <w:gridCol w:w="2600"/>
      </w:tblGrid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3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文档版本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4">
            <w:pPr>
              <w:jc w:val="center"/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2"/>
              </w:rPr>
              <w:t>v0.5.1</w:t>
            </w:r>
          </w:p>
        </w:tc>
      </w:tr>
      <w:tr>
        <w:trPr/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0" w:type="dxa"/>
              <w:bottom w:w="150" w:type="dxa"/>
              <w:right w:w="420" w:type="dxa"/>
            </w:tcMar>
            <w:vAlign w:val="center"/>
          </w:tcPr>
          <w:p w14:paraId="00000005">
            <w:pPr>
              <w:jc w:val="left"/>
              <w:rPr>
                <w:color w:val="5a6472"/>
              </w:rPr>
            </w:pPr>
            <w:r>
              <w:rPr>
                <w:rFonts w:hint="eastAsia" w:ascii="SimHei" w:hAnsi="SimHei" w:eastAsia="SimHei" w:cs="SimHei"/>
                <w:color w:val="5a6472"/>
                <w:sz w:val="22"/>
              </w:rPr>
              <w:t>编制日期</w:t>
            </w:r>
          </w:p>
        </w:tc>
        <w:tc>
          <w:tcPr>
            <w:tcW w:w="2600" w:type="dxa"/>
            <w:tcBorders>
              <w:top w:val="none" w:sz="8"/>
              <w:left w:val="none" w:sz="8"/>
              <w:bottom w:val="single" w:color="c9d2de" w:sz="6"/>
              <w:right w:val="none" w:sz="8"/>
            </w:tcBorders>
            <w:tcMar>
              <w:top w:w="150" w:type="dxa"/>
              <w:left w:w="180" w:type="dxa"/>
              <w:bottom w:w="150" w:type="dxa"/>
              <w:right w:w="0" w:type="dxa"/>
            </w:tcMar>
            <w:vAlign w:val="center"/>
          </w:tcPr>
          <w:p w14:paraId="00000006">
            <w:pPr>
              <w:jc w:val="center"/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2"/>
              </w:rPr>
              <w:t>2026 年 10 月</w:t>
            </w:r>
          </w:p>
        </w:tc>
      </w:tr>
    </w:tbl>
    <w:p w14:paraId="00000007">
      <w:pPr>
        <w:sectPr>
          <w:type w:val="nextPage"/>
          <w:pgSz w:w="11906" w:h="16838"/>
          <w:pgMar w:top="1440" w:right="1800" w:bottom="1440" w:left="1800" w:header="851" w:footer="992" w:gutter="0"/>
          <w:vAlign w:val="center"/>
        </w:sectPr>
      </w:pPr>
    </w:p>
    <w:p w14:paraId="00000008">
      <w:pPr>
        <w:spacing w:before="240" w:after="120"/>
      </w:pPr>
      <w:r>
        <w:rPr>
          <w:rFonts w:hint="eastAsia"/>
          <w:b w:val="1"/>
        </w:rPr>
        <w:t>目　　录</w:t>
      </w:r>
    </w:p>
    <w:p w14:paraId="00000009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一、测试概述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A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二、测试环境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B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三、功能测试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C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　车载影像提取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D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　正射影像提取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E">
      <w:pPr>
        <w:pStyle w:val="000003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　变化比对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0F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四、界面自动化回归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0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五、性能测试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1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六、打包与发布验证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2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七、已知边界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0000013">
      <w:pPr>
        <w:pStyle w:val="000002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八、测试结论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000014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00000015">
      <w:pPr>
        <w:pStyle w:val="000004"/>
        <w:keepNext w:val="1"/>
        <w:keepLines w:val="1"/>
        <w:pageBreakBefore w:val="1"/>
        <w:pBdr>
          <w:bottom w:val="single" w:color="1f3864" w:sz="12" w:space="6"/>
        </w:pBdr>
        <w:spacing w:before="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1f3864"/>
          <w:sz w:val="32"/>
        </w:rPr>
        <w:t>一、测试概述</w:t>
      </w:r>
      <w:bookmarkEnd w:id="1"/>
    </w:p>
    <w:p w14:paraId="00000016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本章说明本次测试的目的、覆盖范围与采用的方法，为后续测试用例设计与结果判定提供依据。</w:t>
      </w:r>
    </w:p>
    <w:p w14:paraId="00000017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1.1　测试目的</w:t>
      </w:r>
    </w:p>
    <w:p w14:paraId="00000018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验证 v0.5.1 版本在车载影像解译、正射影像标线提取、变化比对三大功能上的正确性与稳定性，验证成果格式的可用性与双平台交付包的完整性，为版本发布提供依据。</w:t>
      </w:r>
    </w:p>
    <w:p w14:paraId="00000019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1.2　测试范围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范围</w:t>
            </w:r>
          </w:p>
        </w:tc>
        <w:tc>
          <w:tcPr>
            <w:tcW w:w="647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1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内容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功能测试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三个工作台的完整业务流程、参数配置、进度反馈、成果输出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成果验证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1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/ File GDB 在 ArcGIS、QGIS 中的读取，与底图、存量数据的叠合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性能测试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真实业务数据的处理耗时与产出规模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打包验证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免安装包在 macOS / Windows 双平台的构建、自检与签名</w:t>
            </w:r>
          </w:p>
        </w:tc>
      </w:tr>
      <w:tr>
        <w:trPr/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界面测试</w:t>
            </w:r>
          </w:p>
        </w:tc>
        <w:tc>
          <w:tcPr>
            <w:tcW w:w="647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布局、状态流转、交互行为的自动化回归</w:t>
            </w:r>
          </w:p>
        </w:tc>
      </w:tr>
    </w:tbl>
    <w:p w14:paraId="0000002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f3864" w:sz="18"/>
              <w:bottom w:val="none" w:sz="8"/>
              <w:right w:val="none" w:sz="8"/>
            </w:tcBorders>
            <w:shd w:val="clear" w:fill="f2f5f9"/>
            <w:tcMar>
              <w:top w:w="120" w:type="dxa"/>
              <w:bottom w:w="120" w:type="dxa"/>
            </w:tcMar>
            <w:vAlign w:val="center"/>
          </w:tcPr>
          <w:p w14:paraId="00000027">
            <w:pPr>
              <w:jc w:val="left"/>
              <w:rPr>
                <w:color w:val="5a6472"/>
              </w:rPr>
            </w:pPr>
            <w:r>
              <w:rPr>
                <w:rFonts w:hint="eastAsia" w:ascii="SimSun" w:hAnsi="SimSun" w:eastAsia="SimSun" w:cs="SimSun"/>
                <w:color w:val="5a6472"/>
                <w:sz w:val="20"/>
              </w:rPr>
              <w:t>不在本版范围内的事项：正射影像标志点提取（俯视视角牌面不可辨，规划经样本微调后补充）。</w:t>
            </w:r>
          </w:p>
        </w:tc>
      </w:tr>
    </w:tbl>
    <w:p w14:paraId="00000028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1.3　测试方法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93"/>
        <w:gridCol w:w="6313"/>
      </w:tblGrid>
      <w:tr>
        <w:trPr>
          <w:tblHeader w:val="1"/>
        </w:trPr>
        <w:tc>
          <w:tcPr>
            <w:tcW w:w="199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方法</w:t>
            </w:r>
          </w:p>
        </w:tc>
        <w:tc>
          <w:tcPr>
            <w:tcW w:w="631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2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说明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真实数据全流程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以业务采集的真实数据执行端到端任务，成果人工核验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冻结包自检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打包产物内置四项自检（GDB 导出、正射读取、正射分割、依赖完整性），发布前逐项执行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2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界面自动化回归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基于 Playwright 无头浏览器模拟完整操作流，断言布局与状态</w:t>
            </w:r>
          </w:p>
        </w:tc>
      </w:tr>
      <w:tr>
        <w:trPr/>
        <w:tc>
          <w:tcPr>
            <w:tcW w:w="199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持续集成验证</w:t>
            </w:r>
          </w:p>
        </w:tc>
        <w:tc>
          <w:tcPr>
            <w:tcW w:w="631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GitHub Actions 双平台自动构建，版本标签触发发布</w:t>
            </w:r>
          </w:p>
        </w:tc>
      </w:tr>
    </w:tbl>
    <w:p w14:paraId="0000003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1f3864"/>
          <w:sz w:val="32"/>
        </w:rPr>
        <w:t>二、测试环境</w:t>
      </w:r>
      <w:bookmarkEnd w:id="2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9"/>
        <w:gridCol w:w="3488"/>
        <w:gridCol w:w="2659"/>
      </w:tblGrid>
      <w:tr>
        <w:trPr>
          <w:tblHeader w:val="1"/>
        </w:trPr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环境</w:t>
            </w:r>
          </w:p>
        </w:tc>
        <w:tc>
          <w:tcPr>
            <w:tcW w:w="348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5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配置</w:t>
            </w:r>
          </w:p>
        </w:tc>
        <w:tc>
          <w:tcPr>
            <w:tcW w:w="26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3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用途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开发验证环境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Apple Silicon（M4 量级），macOS 12+，Python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功能、性能、界面回归测试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 构建环境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windows-latest（GitHub Actions），Python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打包构建与产物校验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 构建环境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macos-latest（GitHub Actions），Python 3.13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3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打包构建与产物校验</w:t>
            </w:r>
          </w:p>
        </w:tc>
      </w:tr>
      <w:tr>
        <w:trPr/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测试数据</w:t>
            </w:r>
          </w:p>
        </w:tc>
        <w:tc>
          <w:tcPr>
            <w:tcW w:w="348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车载全景影像 148 幅（含位姿轨迹）；梨园正射影像 DOM（1.7 GB，53037×79277 像素）；存量 GDB（211 条标线）</w:t>
            </w:r>
          </w:p>
        </w:tc>
        <w:tc>
          <w:tcPr>
            <w:tcW w:w="26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端到端验证</w:t>
            </w:r>
          </w:p>
        </w:tc>
      </w:tr>
    </w:tbl>
    <w:p w14:paraId="00000043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3" w:name="section-3"/>
      <w:r>
        <w:rPr>
          <w:rFonts w:hint="eastAsia" w:ascii="SimHei" w:hAnsi="SimHei" w:eastAsia="SimHei" w:cs="SimHei"/>
          <w:b w:val="1"/>
          <w:color w:val="1f3864"/>
          <w:sz w:val="32"/>
        </w:rPr>
        <w:t>三、功能测试</w:t>
      </w:r>
      <w:bookmarkEnd w:id="3"/>
    </w:p>
    <w:p w14:paraId="00000044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本章按功能模块给出功能测试用例、执行步骤与实际结果，覆盖车载影像提取、正射影像提取与变化比对三项核心功能。</w:t>
      </w:r>
    </w:p>
    <w:p w14:paraId="00000045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4" w:name="section-3-1"/>
      <w:r>
        <w:rPr>
          <w:rFonts w:hint="eastAsia" w:ascii="SimHei" w:hAnsi="SimHei" w:eastAsia="SimHei" w:cs="SimHei"/>
          <w:b w:val="1"/>
          <w:color w:val="1a1a1a"/>
          <w:sz w:val="27"/>
        </w:rPr>
        <w:t>3.1　车载影像提取</w:t>
      </w:r>
      <w:bookmarkEnd w:id="4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4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数据扫描配对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按批次同名配对扫描，正确报告可配对影像数量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4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全流程解译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幅影像全部处理完成，无中断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置信度阈值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阈值调整后检出数量呈预期变化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逐文件状态队列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等待/处理中/完成/失败状态实时刷新，分类检出标签正确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失败隔离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单幅异常文件标记失败，任务继续，结束后汇总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5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SHP 成果导出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目标点、车道线、时序变化图层生成，属性完整，附投影文件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GIS 软件读取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成果在 ArcGIS / QGIS 中正常加载，与底图叠合坐标一致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预览图输出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检测框与车道线叠加渲染，可对应人工判读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T-109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日志落盘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输出目录生成时间戳命名的日志，含参数、明细、分类统计与汇总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6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6E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5" w:name="section-3-2"/>
      <w:r>
        <w:rPr>
          <w:rFonts w:hint="eastAsia" w:ascii="SimHei" w:hAnsi="SimHei" w:eastAsia="SimHei" w:cs="SimHei"/>
          <w:b w:val="1"/>
          <w:color w:val="1a1a1a"/>
          <w:sz w:val="27"/>
        </w:rPr>
        <w:t>3.2　正射影像提取</w:t>
      </w:r>
      <w:bookmarkEnd w:id="5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6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7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目录选择与影像识别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选择目录后自动识别其中最大的 TIF 影像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大幅面分块处理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GB、53037×79277 像素 DOM 全图处理无内存溢出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存量走廊约束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开启后仅输出走廊内要素，建筑区域零误提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7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坐标系统一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输出 GDB 坐标系与存量成果一致，可直接叠加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最短标线过滤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小于设定长度的碎片被剔除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7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共线合并性能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端点网格索引优化后，万级要素规模合并不再出现长时无响应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B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阶段进度反馈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原始提取、共线合并、GDB 写出各阶段进度与日志正常推进至 100%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8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GDB 成果导出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lanes / lane_areas 图层生成，ArcGIS / QGIS 读取正常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3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T-209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叠加预览渲染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提取结果与影像叠加渲染正确，供人工核验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97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bookmarkStart w:id="6" w:name="section-3-3"/>
      <w:r>
        <w:rPr>
          <w:rFonts w:hint="eastAsia" w:ascii="SimHei" w:hAnsi="SimHei" w:eastAsia="SimHei" w:cs="SimHei"/>
          <w:b w:val="1"/>
          <w:color w:val="1a1a1a"/>
          <w:sz w:val="27"/>
        </w:rPr>
        <w:t>3.3　变化比对</w:t>
      </w:r>
      <w:bookmarkEnd w:id="6"/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9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三类要素匹配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线（覆盖式）、面（IoU）、点（最近邻）匹配结果符合规则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9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缺失要素自动跳过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新成果无某类要素时该类跳过，不误报缺失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变化统计展示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匹配/疑似新增/缺失/疑似改动四项总量与分类明细表正确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变化预览图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提供底图 TIF 时以正射影像为底渲染；支持滚轮缩放、拖动平移、双击还原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C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结果自动留档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变化比对_时间戳目录生成（含 GDB、SHP、JSON 报告），一键打开可用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A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T-306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变化图层属性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变化要素附来源图层（SRC）与判定原因（NOTE）字段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B4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7" w:name="section-4"/>
      <w:r>
        <w:rPr>
          <w:rFonts w:hint="eastAsia" w:ascii="SimHei" w:hAnsi="SimHei" w:eastAsia="SimHei" w:cs="SimHei"/>
          <w:b w:val="1"/>
          <w:color w:val="1f3864"/>
          <w:sz w:val="32"/>
        </w:rPr>
        <w:t>四、界面自动化回归</w:t>
      </w:r>
      <w:bookmarkEnd w:id="7"/>
    </w:p>
    <w:p w14:paraId="000000B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界面回归以 Playwright 无头浏览器执行，模拟完整操作流并断言关键行为，覆盖 1360×900 与 1080×700 两种常规窗口尺寸：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4487"/>
        <w:gridCol w:w="996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测试项</w:t>
            </w:r>
          </w:p>
        </w:tc>
        <w:tc>
          <w:tcPr>
            <w:tcW w:w="448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B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整屏布局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三个工作台在两种窗口尺寸下均无整页滚动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B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操作步骤指引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选择数据/输出后步骤高亮按序推进，完成态正确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文件队列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状态筛选正确；类别标签完整显示；列表加载后停于顶部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运行日志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逐行带时间戳；字号 10px；运行中实时追加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结果卡片头路径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结果路径显示于打开输出目录按钮左侧，超长省略，不遮挡标题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E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T-406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C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预览图交互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默认铺满宽度；滚轮缩放（1–10 倍）生效；双击还原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T-407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比对页布局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4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统计卡与类别表位于日志下方左列，右列为整块预览区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6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T-408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统计卡样式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标签与数值同行显示，四项统计数值正确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T-409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状态与提示</w:t>
            </w:r>
          </w:p>
        </w:tc>
        <w:tc>
          <w:tcPr>
            <w:tcW w:w="448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运行中/完成/失败三态在进度、日志、结果区均有对应反馈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D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0DE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8" w:name="section-5"/>
      <w:r>
        <w:rPr>
          <w:rFonts w:hint="eastAsia" w:ascii="SimHei" w:hAnsi="SimHei" w:eastAsia="SimHei" w:cs="SimHei"/>
          <w:b w:val="1"/>
          <w:color w:val="1f3864"/>
          <w:sz w:val="32"/>
        </w:rPr>
        <w:t>五、性能测试</w:t>
      </w:r>
      <w:bookmarkEnd w:id="8"/>
    </w:p>
    <w:p w14:paraId="000000DF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基于真实业务数据实测（Apple M4 及现代多核 CPU 量级）：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6"/>
        <w:gridCol w:w="1827"/>
        <w:gridCol w:w="2159"/>
        <w:gridCol w:w="2159"/>
        <w:gridCol w:w="1165"/>
      </w:tblGrid>
      <w:tr>
        <w:trPr>
          <w:tblHeader w:val="1"/>
        </w:trPr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编号</w:t>
            </w:r>
          </w:p>
        </w:tc>
        <w:tc>
          <w:tcPr>
            <w:tcW w:w="1827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场景</w:t>
            </w:r>
          </w:p>
        </w:tc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数据规模</w:t>
            </w:r>
          </w:p>
        </w:tc>
        <w:tc>
          <w:tcPr>
            <w:tcW w:w="2159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  <w:tc>
          <w:tcPr>
            <w:tcW w:w="116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0E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结论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5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P-101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车载影像解译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148 幅全景影像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单幅端到端约 0.5–1 秒，全流程数分钟内完成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满足批量处理需求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A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P-102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正射标线提取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1.7 GB DOM，53037×79277 像素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 秒完成，标线 532 条、面状 16 个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满足单幅交互式作业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EF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P-103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正射与存量匹配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存量 211 条标线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2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匹配 138 条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覆盖率满足增量更新口径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4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P-104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全图处理（无走廊）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同 P-102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标线 1407 条，召回率 90.7%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算法召回能力达标</w:t>
            </w:r>
          </w:p>
        </w:tc>
      </w:tr>
      <w:tr>
        <w:trPr/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9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P-105</w:t>
            </w:r>
          </w:p>
        </w:tc>
        <w:tc>
          <w:tcPr>
            <w:tcW w:w="1827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共线合并（性能回归）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万级线要素</w:t>
            </w:r>
          </w:p>
        </w:tc>
        <w:tc>
          <w:tcPr>
            <w:tcW w:w="2159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优化后合并阶段秒级完成</w:t>
            </w:r>
          </w:p>
        </w:tc>
        <w:tc>
          <w:tcPr>
            <w:tcW w:w="116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0F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无长时无响应窗口</w:t>
            </w:r>
          </w:p>
        </w:tc>
      </w:tr>
    </w:tbl>
    <w:p w14:paraId="000000FE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9" w:name="section-6"/>
      <w:r>
        <w:rPr>
          <w:rFonts w:hint="eastAsia" w:ascii="SimHei" w:hAnsi="SimHei" w:eastAsia="SimHei" w:cs="SimHei"/>
          <w:b w:val="1"/>
          <w:color w:val="1f3864"/>
          <w:sz w:val="32"/>
        </w:rPr>
        <w:t>六、打包与发布验证</w:t>
      </w:r>
      <w:bookmarkEnd w:id="9"/>
    </w:p>
    <w:p w14:paraId="000000FF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本章记录打包产物内置自检、双平台构建与发布产物的验证过程及结果。</w:t>
      </w:r>
    </w:p>
    <w:p w14:paraId="00000100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6.1　冻结包自检</w:t>
      </w:r>
    </w:p>
    <w:p w14:paraId="00000101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打包产物内置自检在发布前逐项执行，v0.5.1 执行结果全部通过：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24"/>
        <w:gridCol w:w="1328"/>
        <w:gridCol w:w="4154"/>
      </w:tblGrid>
      <w:tr>
        <w:trPr>
          <w:tblHeader w:val="1"/>
        </w:trPr>
        <w:tc>
          <w:tcPr>
            <w:tcW w:w="282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自检项</w:t>
            </w:r>
          </w:p>
        </w:tc>
        <w:tc>
          <w:tcPr>
            <w:tcW w:w="1328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  <w:tc>
          <w:tcPr>
            <w:tcW w:w="4154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0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关键输出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gdb（GDB 导出链路）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产物生成并可通过驱动读取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8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rasterio（正射读取链路）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GDAL/PROJ 依赖完整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B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deps（依赖完整性）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C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D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pyproj 3.8.0 / geopandas 1.2.0 / pyogrio 0.13.0，EPSG:3857 坐标往返正常</w:t>
            </w:r>
          </w:p>
        </w:tc>
      </w:tr>
      <w:tr>
        <w:trPr/>
        <w:tc>
          <w:tcPr>
            <w:tcW w:w="282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E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dom（正射端到端分割）</w:t>
            </w:r>
          </w:p>
        </w:tc>
        <w:tc>
          <w:tcPr>
            <w:tcW w:w="1328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0F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  <w:tc>
          <w:tcPr>
            <w:tcW w:w="4154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0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掩膜像素 3,413,775，影像 53037×79277</w:t>
            </w:r>
          </w:p>
        </w:tc>
      </w:tr>
    </w:tbl>
    <w:p w14:paraId="00000111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6.2　双平台构建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5"/>
        <w:gridCol w:w="4985"/>
        <w:gridCol w:w="996"/>
      </w:tblGrid>
      <w:tr>
        <w:trPr>
          <w:tblHeader w:val="1"/>
        </w:trPr>
        <w:tc>
          <w:tcPr>
            <w:tcW w:w="232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平台</w:t>
            </w:r>
          </w:p>
        </w:tc>
        <w:tc>
          <w:tcPr>
            <w:tcW w:w="4985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3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验证内容</w:t>
            </w:r>
          </w:p>
        </w:tc>
        <w:tc>
          <w:tcPr>
            <w:tcW w:w="996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4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结果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5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macOS（Apple Silicon）</w:t>
            </w:r>
          </w:p>
        </w:tc>
        <w:tc>
          <w:tcPr>
            <w:tcW w:w="498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6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PyInstaller 打包、签名校验（codesign）、压缩包分发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7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  <w:tr>
        <w:trPr/>
        <w:tc>
          <w:tcPr>
            <w:tcW w:w="232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8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Windows x64</w:t>
            </w:r>
          </w:p>
        </w:tc>
        <w:tc>
          <w:tcPr>
            <w:tcW w:w="4985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9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CI 自动构建、产物压缩与上传</w:t>
            </w:r>
          </w:p>
        </w:tc>
        <w:tc>
          <w:tcPr>
            <w:tcW w:w="996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1A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通过</w:t>
            </w:r>
          </w:p>
        </w:tc>
      </w:tr>
    </w:tbl>
    <w:p w14:paraId="0000011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macOS 专项验证了 rasterio 与 pyproj 捆绑同名 libproj 动态库的二进制兼容处理：构建脚本在打包两个阶段后对产物执行库修正与重签名，正射提取链路在冻结包内运行正常（由 dom 自检覆盖）。</w:t>
      </w:r>
    </w:p>
    <w:p w14:paraId="0000011C">
      <w:pPr>
        <w:pStyle w:val="000005"/>
        <w:keepNext w:val="1"/>
        <w:keepLines w:val="1"/>
        <w:spacing w:before="330" w:beforeAutospacing="1" w:after="150" w:afterAutospacing="1" w:line="408"/>
        <w:ind w:left="0" w:right="0"/>
        <w:outlineLvl w:val="1"/>
        <w:rPr>
          <w:color w:val="1a1a1a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1a1a"/>
          <w:sz w:val="27"/>
        </w:rPr>
        <w:t>6.3　发布产物</w:t>
      </w:r>
    </w:p>
    <w:p w14:paraId="0000011D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版本标签 v0.5.1 触发的 CI 构建成功（约 8 分钟），GitHub Release 附带以下交付包：</w:t>
      </w:r>
    </w:p>
    <w:tbl>
      <w:tblPr>
        <w:tblW w:w="8306" w:type="dxa"/>
        <w:shd w:color="1a1a1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产物</w:t>
            </w:r>
          </w:p>
        </w:tc>
        <w:tc>
          <w:tcPr>
            <w:tcW w:w="4153" w:type="dxa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val="clear" w:fill="1f3864"/>
            <w:tcMar>
              <w:top w:w="105" w:type="dxa"/>
              <w:left w:w="150" w:type="dxa"/>
              <w:bottom w:w="105" w:type="dxa"/>
              <w:right w:w="150" w:type="dxa"/>
            </w:tcMar>
            <w:vAlign w:val="center"/>
          </w:tcPr>
          <w:p w14:paraId="0000011F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0"/>
                <w:color w:val="ffffff"/>
                <w:sz w:val="21"/>
              </w:rPr>
              <w:t>大小</w:t>
            </w:r>
          </w:p>
        </w:tc>
      </w:tr>
      <w:tr>
        <w:trPr/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0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AIVisionTool-macOS-arm64.zip</w:t>
            </w:r>
          </w:p>
        </w:tc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1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154 MB</w:t>
            </w:r>
          </w:p>
        </w:tc>
      </w:tr>
      <w:tr>
        <w:trPr/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2">
            <w:pPr>
              <w:rPr>
                <w:color w:val="1a1a1a"/>
              </w:rPr>
            </w:pPr>
            <w:r>
              <w:rPr>
                <w:rFonts w:ascii="SimSun" w:hAnsi="SimSun" w:eastAsia="SimSun" w:cs="SimSun"/>
                <w:color w:val="1a1a1a"/>
                <w:sz w:val="21"/>
              </w:rPr>
              <w:t>AIVisionTool-Windows-x64.zip</w:t>
            </w:r>
          </w:p>
        </w:tc>
        <w:tc>
          <w:tcPr>
            <w:tcW w:w="4153" w:type="dxa"/>
            <w:tcBorders>
              <w:top w:val="single" w:color="c9d2de" w:sz="6"/>
              <w:left w:val="single" w:color="c9d2de" w:sz="6"/>
              <w:bottom w:val="single" w:color="c9d2de" w:sz="6"/>
              <w:right w:val="single" w:color="c9d2de" w:sz="6"/>
            </w:tcBorders>
            <w:shd w:val="clear" w:fill="f2f5f9"/>
            <w:tcMar>
              <w:top w:w="90" w:type="dxa"/>
              <w:left w:w="150" w:type="dxa"/>
              <w:bottom w:w="90" w:type="dxa"/>
              <w:right w:w="150" w:type="dxa"/>
            </w:tcMar>
            <w:vAlign w:val="top"/>
          </w:tcPr>
          <w:p w14:paraId="00000123">
            <w:pPr>
              <w:rPr>
                <w:color w:val="1a1a1a"/>
              </w:rPr>
            </w:pPr>
            <w:r>
              <w:rPr>
                <w:rFonts w:hint="eastAsia" w:ascii="SimSun" w:hAnsi="SimSun" w:eastAsia="SimSun" w:cs="SimSun"/>
                <w:color w:val="1a1a1a"/>
                <w:sz w:val="21"/>
              </w:rPr>
              <w:t>约 174 MB</w:t>
            </w:r>
          </w:p>
        </w:tc>
      </w:tr>
    </w:tbl>
    <w:p w14:paraId="00000124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0" w:name="section-7"/>
      <w:r>
        <w:rPr>
          <w:rFonts w:hint="eastAsia" w:ascii="SimHei" w:hAnsi="SimHei" w:eastAsia="SimHei" w:cs="SimHei"/>
          <w:b w:val="1"/>
          <w:color w:val="1f3864"/>
          <w:sz w:val="32"/>
        </w:rPr>
        <w:t>七、已知边界</w:t>
      </w:r>
      <w:bookmarkEnd w:id="10"/>
    </w:p>
    <w:p w14:paraId="00000125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以下情况为当前版本的已知边界，均已写入用户说明文档，不影响版本交付：</w:t>
      </w:r>
    </w:p>
    <w:p w14:paraId="00000126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检测模型采用通用预训练权重，对特定区域特有标志牌、异形设施召回有限；</w:t>
      </w:r>
    </w:p>
    <w:p w14:paraId="00000127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车道线提取面向结构化城市道路，无标线或严重遮挡路段可能少检或不检；</w:t>
      </w:r>
    </w:p>
    <w:p w14:paraId="00000128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正射提取采用无监督图像算法，建筑轮廓、停车位线可能进入「疑似新增」，树冠遮挡可致标线断裂并被误判「疑似缺失」，均以人工确认兜底；</w:t>
      </w:r>
    </w:p>
    <w:p w14:paraId="00000129">
      <w:pPr>
        <w:numPr>
          <w:ilvl w:val="0"/>
          <w:numId w:val="1"/>
        </w:numPr>
        <w:spacing w:before="0" w:after="90" w:line="408"/>
        <w:ind w:left="576" w:right="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正射影像标志点提取暂未纳入。</w:t>
      </w:r>
    </w:p>
    <w:p w14:paraId="0000012A">
      <w:pPr>
        <w:pStyle w:val="000004"/>
        <w:keepNext w:val="1"/>
        <w:keepLines w:val="1"/>
        <w:pBdr>
          <w:bottom w:val="single" w:color="1f3864" w:sz="12" w:space="6"/>
        </w:pBdr>
        <w:spacing w:before="510" w:beforeAutospacing="1" w:after="270" w:afterAutospacing="1" w:line="408"/>
        <w:ind w:left="0" w:right="0"/>
        <w:outlineLvl w:val="0"/>
        <w:rPr>
          <w:color w:val="1f3864"/>
          <w:kern w:val="44"/>
          <w:sz w:val="44"/>
          <w:szCs w:val="44"/>
        </w:rPr>
      </w:pPr>
      <w:bookmarkStart w:id="11" w:name="section-8"/>
      <w:r>
        <w:rPr>
          <w:rFonts w:hint="eastAsia" w:ascii="SimHei" w:hAnsi="SimHei" w:eastAsia="SimHei" w:cs="SimHei"/>
          <w:b w:val="1"/>
          <w:color w:val="1f3864"/>
          <w:sz w:val="32"/>
        </w:rPr>
        <w:t>八、测试结论</w:t>
      </w:r>
      <w:bookmarkEnd w:id="11"/>
    </w:p>
    <w:p w14:paraId="0000012B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Sun" w:hAnsi="SimSun" w:eastAsia="SimSun" w:cs="SimSun"/>
          <w:color w:val="1a1a1a"/>
          <w:sz w:val="24"/>
        </w:rPr>
        <w:t>v0.5.1 版本按测试计划完成功能测试（24 项）、界面自动化回归（9 项）、性能测试（5 项）与打包发布验证，全部通过。三大业务流程在真实数据上端到端运行正确，成果格式与坐标系满足既有 GIS 体系入库要求，双平台交付包完整可用。</w:t>
      </w:r>
    </w:p>
    <w:p w14:paraId="0000012C">
      <w:pPr>
        <w:spacing w:before="0" w:after="150" w:line="408"/>
        <w:ind w:left="0" w:right="0" w:firstLine="480"/>
        <w:jc w:val="both"/>
        <w:rPr>
          <w:color w:val="1a1a1a"/>
        </w:rPr>
      </w:pPr>
      <w:r>
        <w:rPr>
          <w:rFonts w:hint="eastAsia" w:ascii="SimHei" w:hAnsi="SimHei" w:eastAsia="SimHei" w:cs="SimHei"/>
          <w:b w:val="1"/>
          <w:color w:val="1a1a1a"/>
          <w:sz w:val="24"/>
        </w:rPr>
        <w:t>结论：本版本测试通过，具备交付条件。</w:t>
      </w:r>
    </w:p>
    <w:p w14:paraId="0000012D"/>
    <w:sectPr>
      <w:type w:val="nextPage"/>
      <w:pgNumType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footer" w:semiHidden="1" w:unhideWhenUsed="1"/>
    <w:lsdException w:name="toc 8" w:uiPriority="39" w:semiHidden="1" w:unhideWhenUsed="1"/>
    <w:lsdException w:name="heading 6" w:uiPriority="9" w:semiHidden="1" w:unhideWhenUsed="1" w:qFormat="1"/>
    <w:lsdException w:name="heading 8" w:uiPriority="9" w:semiHidden="1" w:unhideWhenUsed="1" w:qFormat="1"/>
    <w:lsdException w:name="toa heading" w:semiHidden="1" w:unhideWhenUsed="1"/>
    <w:lsdException w:name="toc 3" w:uiPriority="39" w:semiHidden="1" w:unhideWhenUsed="1"/>
    <w:lsdException w:name="List 3" w:semiHidden="1" w:unhideWhenUsed="1"/>
    <w:lsdException w:name="table of authorities" w:semiHidden="1" w:unhideWhenUsed="1"/>
    <w:lsdException w:name="page number" w:semiHidden="1" w:unhideWhenUsed="1"/>
    <w:lsdException w:name="List Bullet 4" w:semiHidden="1" w:unhideWhenUsed="1"/>
    <w:lsdException w:name="Title" w:uiPriority="10" w:qFormat="1"/>
    <w:lsdException w:name="Body Text Indent 2" w:semiHidden="1" w:unhideWhenUsed="1"/>
    <w:lsdException w:name="annotation text" w:semiHidden="1" w:unhideWhenUsed="1"/>
    <w:lsdException w:name="List Bullet 5" w:semiHidden="1" w:unhideWhenUsed="1"/>
    <w:lsdException w:name="Body Text Indent" w:semiHidden="1" w:unhideWhenUsed="1"/>
    <w:lsdException w:name="toc 4" w:uiPriority="39" w:semiHidden="1" w:unhideWhenUsed="1"/>
    <w:lsdException w:name="List Continue 5" w:semiHidden="1" w:unhideWhenUsed="1"/>
    <w:lsdException w:name="List Bullet 2" w:semiHidden="1" w:unhideWhenUsed="1"/>
    <w:lsdException w:name="toc 2" w:uiPriority="39" w:semiHidden="1" w:unhideWhenUsed="1"/>
    <w:lsdException w:name="index 5" w:semiHidden="1" w:unhideWhenUsed="1"/>
    <w:lsdException w:name="index 7" w:semiHidden="1" w:unhideWhenUsed="1"/>
    <w:lsdException w:name="heading 9" w:uiPriority="9" w:semiHidden="1" w:unhideWhenUsed="1" w:qFormat="1"/>
    <w:lsdException w:name="List Number 3" w:semiHidden="1" w:unhideWhenUsed="1"/>
    <w:lsdException w:name="Body Text 2" w:semiHidden="1" w:unhideWhenUsed="1"/>
    <w:lsdException w:name="Body Text First Indent" w:semiHidden="1" w:unhideWhenUsed="1"/>
    <w:lsdException w:name="footnote text" w:semiHidden="1" w:unhideWhenUsed="1"/>
    <w:lsdException w:name="index 3" w:semiHidden="1" w:unhideWhenUsed="1"/>
    <w:lsdException w:name="envelope return" w:semiHidden="1" w:unhideWhenUsed="1"/>
    <w:lsdException w:name="Salutation" w:semiHidden="1" w:unhideWhenUsed="1"/>
    <w:lsdException w:name="toc 6" w:uiPriority="39" w:semiHidden="1" w:unhideWhenUsed="1"/>
    <w:lsdException w:name="Block Text" w:semiHidden="1" w:unhideWhenUsed="1"/>
    <w:lsdException w:name="index 1" w:semiHidden="1" w:unhideWhenUsed="1"/>
    <w:lsdException w:name="toc 7" w:uiPriority="39" w:semiHidden="1" w:unhideWhenUsed="1"/>
    <w:lsdException w:name="index 6" w:semiHidden="1" w:unhideWhenUsed="1"/>
    <w:lsdException w:name="toc 9" w:uiPriority="39" w:semiHidden="1" w:unhideWhenUsed="1"/>
    <w:lsdException w:name="List" w:semiHidden="1" w:unhideWhenUsed="1"/>
    <w:lsdException w:name="List 5" w:semiHidden="1" w:unhideWhenUsed="1"/>
    <w:lsdException w:name="List Number 2" w:semiHidden="1" w:unhideWhenUsed="1"/>
    <w:lsdException w:name="Signature" w:semiHidden="1" w:unhideWhenUsed="1"/>
    <w:lsdException w:name="header" w:semiHidden="1" w:unhideWhenUsed="1"/>
    <w:lsdException w:name="List Continue 3" w:semiHidden="1" w:unhideWhenUsed="1"/>
    <w:lsdException w:name="Date" w:semiHidden="1" w:unhideWhenUsed="1"/>
    <w:lsdException w:name="heading 2" w:uiPriority="9" w:semiHidden="1" w:unhideWhenUsed="1" w:qFormat="1"/>
    <w:lsdException w:name="index 9" w:semiHidden="1" w:unhideWhenUsed="1"/>
    <w:lsdException w:name="List Number" w:semiHidden="1" w:unhideWhenUsed="1"/>
    <w:lsdException w:name="index heading" w:semiHidden="1" w:unhideWhenUsed="1"/>
    <w:lsdException w:name="List Continue 2" w:semiHidden="1" w:unhideWhenUsed="1"/>
    <w:lsdException w:name="List 4" w:semiHidden="1" w:unhideWhenUsed="1"/>
    <w:lsdException w:name="table of figures" w:semiHidden="1" w:unhideWhenUsed="1"/>
    <w:lsdException w:name="caption" w:uiPriority="35" w:semiHidden="1" w:unhideWhenUsed="1" w:qFormat="1"/>
    <w:lsdException w:name="Strong" w:uiPriority="22" w:qFormat="1"/>
    <w:lsdException w:name="footnote reference" w:semiHidden="1" w:unhideWhenUsed="1"/>
    <w:lsdException w:name="Note Heading" w:semiHidden="1" w:unhideWhenUsed="1"/>
    <w:lsdException w:name="Normal Indent" w:semiHidden="1" w:unhideWhenUsed="1"/>
    <w:lsdException w:name="heading 3" w:uiPriority="9" w:semiHidden="1" w:unhideWhenUsed="1" w:qFormat="1"/>
    <w:lsdException w:name="List Bullet" w:semiHidden="1" w:unhideWhenUsed="1"/>
    <w:lsdException w:name="endnote reference" w:semiHidden="1" w:unhideWhenUsed="1"/>
    <w:lsdException w:name="index 8" w:semiHidden="1" w:unhideWhenUsed="1"/>
    <w:lsdException w:name="List Continue 4" w:semiHidden="1" w:unhideWhenUsed="1"/>
    <w:lsdException w:name="List Number 5" w:semiHidden="1" w:unhideWhenUsed="1"/>
    <w:lsdException w:name="heading 1" w:uiPriority="9" w:qFormat="1"/>
    <w:lsdException w:name="annotation reference" w:semiHidden="1" w:unhideWhenUsed="1"/>
    <w:lsdException w:name="List 2" w:semiHidden="1" w:unhideWhenUsed="1"/>
    <w:lsdException w:name="line number" w:semiHidden="1" w:unhideWhenUsed="1"/>
    <w:lsdException w:name="toc 5" w:uiPriority="39" w:semiHidden="1" w:unhideWhenUsed="1"/>
    <w:lsdException w:name="Body Text 3" w:semiHidden="1" w:unhideWhenUsed="1"/>
    <w:lsdException w:name="Message Header" w:semiHidden="1" w:unhideWhenUsed="1"/>
    <w:lsdException w:name="List Bullet 3" w:semiHidden="1" w:unhideWhenUsed="1"/>
    <w:lsdException w:name="Body Text First Indent 2" w:semiHidden="1" w:unhideWhenUsed="1"/>
    <w:lsdException w:name="endnote text" w:semiHidden="1" w:unhideWhenUsed="1"/>
    <w:lsdException w:name="macro" w:semiHidden="1" w:unhideWhenUsed="1"/>
    <w:lsdException w:name="FollowedHyperlink" w:semiHidden="1" w:unhideWhenUsed="1"/>
    <w:lsdException w:name="List Continue" w:semiHidden="1" w:unhideWhenUsed="1"/>
    <w:lsdException w:name="Hyperlink" w:semiHidden="1" w:unhideWhenUsed="1"/>
    <w:lsdException w:name="envelope address" w:semiHidden="1" w:unhideWhenUsed="1"/>
    <w:lsdException w:name="heading 7" w:uiPriority="9" w:semiHidden="1" w:unhideWhenUsed="1" w:qFormat="1"/>
    <w:lsdException w:name="Default Paragraph Font" w:uiPriority="1" w:semiHidden="1" w:unhideWhenUsed="1"/>
    <w:lsdException w:name="Subtitle" w:uiPriority="11" w:qFormat="1"/>
    <w:lsdException w:name="Closing" w:semiHidden="1" w:unhideWhenUsed="1"/>
    <w:lsdException w:name="Normal" w:uiPriority="0" w:qFormat="1"/>
    <w:lsdException w:name="index 4" w:semiHidden="1" w:unhideWhenUsed="1"/>
    <w:lsdException w:name="heading 5" w:uiPriority="9" w:semiHidden="1" w:unhideWhenUsed="1" w:qFormat="1"/>
    <w:lsdException w:name="index 2" w:semiHidden="1" w:unhideWhenUsed="1"/>
    <w:lsdException w:name="Body Text Indent 3" w:semiHidden="1" w:unhideWhenUsed="1"/>
    <w:lsdException w:name="toc 1" w:uiPriority="39" w:semiHidden="1" w:unhideWhenUsed="1"/>
    <w:lsdException w:name="Body Text" w:semiHidden="1" w:unhideWhenUsed="1"/>
    <w:lsdException w:name="List Number 4" w:semiHidden="1" w:unhideWhenUsed="1"/>
    <w:lsdException w:name="heading 4" w:uiPriority="9" w:semiHidden="1" w:unhideWhenUsed="1" w:qFormat="1"/>
  </w:latentStyles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2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3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2026-10-28T19:43:42Z</dcterms:created>
  <dcterms:modified xsi:type="dcterms:W3CDTF">2026-10-28T19:43:42Z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"01a18250afa6796fb25f849af24d7d4a", "ReservedCode1": "", "ContentPropagator": "00119111010856365494821B355", "PropagateID": "01a18250afa6796fb25f849af24d7d4a", "ReservedCode2": ""}}</vt:lpwstr>
  </property>
</Properties>
</file>