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32"/>
          <w:szCs w:val="32"/>
        </w:rPr>
        <w:t>PROFORMA</w:t>
      </w:r>
      <w:r w:rsidR="00A37F53">
        <w:rPr>
          <w:rFonts w:asciiTheme="majorHAnsi" w:hAnsiTheme="majorHAnsi"/>
          <w:b/>
          <w:bCs/>
          <w:color w:val="000000"/>
          <w:sz w:val="32"/>
          <w:szCs w:val="32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</w:pPr>
      <w:r w:rsidRPr="00C5773F">
        <w:rPr>
          <w:rFonts w:asciiTheme="majorHAnsi" w:hAnsiTheme="majorHAnsi"/>
          <w:bCs/>
          <w:i/>
          <w:iCs/>
          <w:color w:val="000000"/>
          <w:sz w:val="26"/>
          <w:szCs w:val="26"/>
        </w:rPr>
        <w:t>No: {contract_no}/PR.CI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6"/>
          <w:szCs w:val="26"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</w:rPr>
        <w:t>THE SELLER</w:t>
      </w:r>
      <w:r w:rsidRPr="008C624C">
        <w:rPr>
          <w:rFonts w:asciiTheme="majorHAnsi" w:eastAsia="Batang" w:hAnsiTheme="majorHAnsi"/>
          <w:lang w:val="en-US" w:eastAsia="ko-KR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 xml:space="preserve">KHE </w:t>
      </w:r>
      <w:proofErr w:type="gramStart"/>
      <w:r>
        <w:rPr>
          <w:rFonts w:asciiTheme="majorHAnsi" w:hAnsiTheme="majorHAnsi" w:cs="Arial"/>
          <w:bCs/>
          <w:sz w:val="26"/>
          <w:szCs w:val="26"/>
        </w:rPr>
        <w:t>MA ,</w:t>
      </w:r>
      <w:proofErr w:type="gramEnd"/>
      <w:r>
        <w:rPr>
          <w:rFonts w:asciiTheme="majorHAnsi" w:hAnsiTheme="majorHAnsi" w:cs="Arial"/>
          <w:bCs/>
          <w:sz w:val="26"/>
          <w:szCs w:val="26"/>
        </w:rPr>
        <w:t xml:space="preserve">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      : {buyer_address}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{incoterm} – {pod}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{payment}. </w:t>
            </w:r>
          </w:p>
          <w:p>
            <w:r>
              <w:t>{#has_extra_terms}Other Conditions: {extra_terms}{/has_extra_terms}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The L/C draft must be opened within five (5) days from the contract signing date.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{bank_account_name}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{bank_account_no}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{bank_full_name}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{bank_address}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{bank_swift}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{buyer_name}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