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4"/>
        <w:spacing w:lineRule="exact" w:line="320"/>
        <w:ind w:hanging="180"/>
        <w:rPr>
          <w:i/>
          <w:i/>
          <w:lang w:val="de-DE"/>
        </w:rPr>
      </w:pPr>
      <w:r>
        <w:rPr>
          <w:i/>
          <w:lang w:val="de-DE"/>
        </w:rPr>
        <w:t xml:space="preserve">GIẤY ĐỀ NGHỊ CHIẾT KHẤU KIÊM PHỤ LỤC HỢP ĐỒNG </w:t>
      </w:r>
    </w:p>
    <w:p>
      <w:pPr>
        <w:pStyle w:val="Heading4"/>
        <w:spacing w:lineRule="exact" w:line="320" w:before="0" w:after="240"/>
        <w:rPr>
          <w:i/>
          <w:i/>
          <w:lang w:val="de-DE"/>
        </w:rPr>
      </w:pPr>
      <w:r>
        <w:rPr>
          <w:i/>
          <w:lang w:val="de-DE"/>
        </w:rPr>
        <w:t>SỐ</w:t>
      </w:r>
      <w:r>
        <w:rPr>
          <w:i/>
          <w:color w:val="FF0000"/>
          <w:lang w:val="de-DE"/>
        </w:rPr>
        <w:t>: {form_seq}/{form_year}-CK-{invoice_ref}</w:t>
      </w:r>
    </w:p>
    <w:p>
      <w:pPr>
        <w:pStyle w:val="Normal"/>
        <w:jc w:val="right"/>
        <w:rPr>
          <w:i/>
          <w:i/>
          <w:lang w:val="de-DE"/>
        </w:rPr>
      </w:pPr>
      <w:r>
        <w:rPr>
          <w:i/>
          <w:lang w:val="de-DE"/>
        </w:rPr>
      </w:r>
    </w:p>
    <w:p>
      <w:pPr>
        <w:pStyle w:val="Normal"/>
        <w:jc w:val="right"/>
        <w:rPr>
          <w:i/>
          <w:i/>
          <w:lang w:val="de-DE"/>
        </w:rPr>
      </w:pPr>
      <w:r>
        <w:rPr>
          <w:i/>
          <w:lang w:val="de-DE"/>
        </w:rPr>
        <w:t>Ngày {rq_d} tháng {rq_m} năm {rq_y}</w:t>
      </w:r>
    </w:p>
    <w:tbl>
      <w:tblPr>
        <w:tblW w:w="10236" w:type="dxa"/>
        <w:jc w:val="left"/>
        <w:tblInd w:w="-176" w:type="dxa"/>
        <w:tblLayout w:type="fixed"/>
        <w:tblCellMar>
          <w:top w:w="0" w:type="dxa"/>
          <w:left w:w="108" w:type="dxa"/>
          <w:bottom w:w="0" w:type="dxa"/>
          <w:right w:w="108" w:type="dxa"/>
        </w:tblCellMar>
        <w:tblLook w:val="04a0" w:noHBand="0" w:noVBand="1" w:firstColumn="1" w:lastRow="0" w:lastColumn="0" w:firstRow="1"/>
      </w:tblPr>
      <w:tblGrid>
        <w:gridCol w:w="2268"/>
        <w:gridCol w:w="1135"/>
        <w:gridCol w:w="453"/>
        <w:gridCol w:w="1702"/>
        <w:gridCol w:w="197"/>
        <w:gridCol w:w="355"/>
        <w:gridCol w:w="2264"/>
        <w:gridCol w:w="18"/>
        <w:gridCol w:w="1815"/>
        <w:gridCol w:w="29"/>
      </w:tblGrid>
      <w:tr>
        <w:trPr>
          <w:trHeight w:val="327" w:hRule="atLeast"/>
        </w:trPr>
        <w:tc>
          <w:tcPr>
            <w:tcW w:w="10207" w:type="dxa"/>
            <w:gridSpan w:val="9"/>
            <w:tcBorders>
              <w:top w:val="single" w:sz="4" w:space="0" w:color="000000"/>
              <w:left w:val="single" w:sz="4" w:space="0" w:color="000000"/>
              <w:bottom w:val="single" w:sz="4" w:space="0" w:color="000000"/>
              <w:right w:val="single" w:sz="4" w:space="0" w:color="000000"/>
            </w:tcBorders>
            <w:shd w:color="auto" w:fill="DBE5F1" w:themeFill="accent1" w:themeFillTint="33" w:val="clear"/>
          </w:tcPr>
          <w:p>
            <w:pPr>
              <w:pStyle w:val="Normal"/>
              <w:numPr>
                <w:ilvl w:val="0"/>
                <w:numId w:val="1"/>
              </w:numPr>
              <w:ind w:hanging="259" w:left="259"/>
              <w:jc w:val="center"/>
              <w:rPr>
                <w:b/>
                <w:i/>
                <w:i/>
                <w:sz w:val="26"/>
                <w:szCs w:val="26"/>
                <w:lang w:val="it-IT"/>
              </w:rPr>
            </w:pPr>
            <w:r>
              <w:rPr>
                <w:b/>
                <w:i/>
                <w:sz w:val="26"/>
                <w:szCs w:val="26"/>
                <w:lang w:val="it-IT"/>
              </w:rPr>
              <w:t xml:space="preserve"> </w:t>
            </w:r>
            <w:r>
              <w:rPr>
                <w:b/>
                <w:i/>
                <w:sz w:val="26"/>
                <w:szCs w:val="26"/>
                <w:lang w:val="it-IT"/>
              </w:rPr>
              <w:t>ĐỀ NGHỊ VÀ CAM KẾT CỦA KHÁCH HÀNG</w:t>
            </w:r>
          </w:p>
        </w:tc>
        <w:tc>
          <w:tcPr>
            <w:tcW w:w="29" w:type="dxa"/>
            <w:tcBorders/>
          </w:tcPr>
          <w:p>
            <w:pPr>
              <w:pStyle w:val="Normal"/>
              <w:rPr/>
            </w:pPr>
            <w:r>
              <w:rPr/>
            </w:r>
          </w:p>
        </w:tc>
      </w:tr>
      <w:tr>
        <w:trPr>
          <w:trHeight w:val="418" w:hRule="atLeast"/>
        </w:trPr>
        <w:tc>
          <w:tcPr>
            <w:tcW w:w="10207" w:type="dxa"/>
            <w:gridSpan w:val="9"/>
            <w:tcBorders>
              <w:top w:val="single" w:sz="4" w:space="0" w:color="000000"/>
              <w:left w:val="single" w:sz="4" w:space="0" w:color="000000"/>
              <w:bottom w:val="single" w:sz="4" w:space="0" w:color="000000"/>
              <w:right w:val="single" w:sz="4" w:space="0" w:color="000000"/>
            </w:tcBorders>
          </w:tcPr>
          <w:p>
            <w:pPr>
              <w:pStyle w:val="Normal"/>
              <w:jc w:val="both"/>
              <w:rPr>
                <w:i/>
                <w:i/>
                <w:sz w:val="26"/>
                <w:szCs w:val="26"/>
                <w:lang w:val="de-DE"/>
              </w:rPr>
            </w:pPr>
            <w:r>
              <w:rPr>
                <w:b/>
                <w:i/>
                <w:sz w:val="26"/>
                <w:szCs w:val="26"/>
                <w:lang w:val="de-DE"/>
              </w:rPr>
              <w:t>Kí</w:t>
            </w:r>
            <w:r>
              <w:rPr>
                <w:rFonts w:ascii=".VnSouthern" w:hAnsi=".VnSouthern"/>
                <w:b/>
                <w:i/>
                <w:sz w:val="26"/>
                <w:szCs w:val="26"/>
                <w:lang w:val="de-DE"/>
              </w:rPr>
              <w:t>Í</w:t>
            </w:r>
            <w:r>
              <w:rPr>
                <w:b/>
                <w:i/>
                <w:sz w:val="26"/>
                <w:szCs w:val="26"/>
                <w:lang w:val="de-DE"/>
              </w:rPr>
              <w:t>nh gửi</w:t>
            </w:r>
            <w:r>
              <w:rPr>
                <w:i/>
                <w:sz w:val="26"/>
                <w:szCs w:val="26"/>
                <w:lang w:val="de-DE"/>
              </w:rPr>
              <w:t xml:space="preserve">: </w:t>
            </w:r>
            <w:r>
              <w:rPr>
                <w:b/>
                <w:i/>
                <w:sz w:val="26"/>
                <w:szCs w:val="26"/>
                <w:lang w:val="de-DE"/>
              </w:rPr>
              <w:t>Ngân hàng TMCP Công thương Việt Nam –  Chi Nhánh</w:t>
            </w:r>
            <w:r>
              <w:rPr>
                <w:i/>
                <w:sz w:val="26"/>
                <w:szCs w:val="26"/>
                <w:lang w:val="de-DE"/>
              </w:rPr>
              <w:t xml:space="preserve"> Huế </w:t>
            </w:r>
            <w:r>
              <w:rPr>
                <w:i/>
                <w:lang w:val="it-IT"/>
              </w:rPr>
              <w:t>(“</w:t>
            </w:r>
            <w:r>
              <w:rPr>
                <w:b/>
                <w:i/>
                <w:lang w:val="it-IT"/>
              </w:rPr>
              <w:t>Ngân Hàng</w:t>
            </w:r>
            <w:r>
              <w:rPr>
                <w:i/>
                <w:lang w:val="it-IT"/>
              </w:rPr>
              <w:t>”)</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dotted" w:sz="4" w:space="0" w:color="000000"/>
              <w:right w:val="single" w:sz="4" w:space="0" w:color="000000"/>
            </w:tcBorders>
          </w:tcPr>
          <w:p>
            <w:pPr>
              <w:pStyle w:val="Normal"/>
              <w:rPr>
                <w:b/>
                <w:i/>
                <w:i/>
                <w:lang w:val="it-IT"/>
              </w:rPr>
            </w:pPr>
            <w:r>
              <w:rPr>
                <w:b/>
                <w:i/>
                <w:lang w:val="it-IT"/>
              </w:rPr>
              <w:t>Áp dụng trong trường hợp Khách hàng là Tổ chức</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rPr>
                <w:b/>
                <w:i/>
                <w:i/>
                <w:lang w:val="it-IT"/>
              </w:rPr>
            </w:pPr>
            <w:r>
              <w:rPr>
                <w:b/>
                <w:i/>
                <w:lang w:val="it-IT"/>
              </w:rPr>
              <w:t xml:space="preserve">Chúng tôi, Công ty TNHH MTV Cao Su Huy Anh Phong Điền </w:t>
            </w:r>
            <w:r>
              <w:rPr>
                <w:i/>
                <w:lang w:val="it-IT"/>
              </w:rPr>
              <w:t>(“</w:t>
            </w:r>
            <w:r>
              <w:rPr>
                <w:b/>
                <w:i/>
                <w:lang w:val="it-IT"/>
              </w:rPr>
              <w:t>Khách Hàng</w:t>
            </w:r>
            <w:r>
              <w:rPr>
                <w:i/>
                <w:lang w:val="it-IT"/>
              </w:rPr>
              <w:t>”)</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dotted" w:sz="4" w:space="0" w:color="000000"/>
              <w:right w:val="dotted" w:sz="4" w:space="0" w:color="000000"/>
            </w:tcBorders>
          </w:tcPr>
          <w:p>
            <w:pPr>
              <w:pStyle w:val="Normal"/>
              <w:rPr>
                <w:i/>
                <w:i/>
                <w:lang w:val="it-IT"/>
              </w:rPr>
            </w:pPr>
            <w:r>
              <w:rPr>
                <w:i/>
                <w:lang w:val="it-IT"/>
              </w:rPr>
              <w:t>Giấy CNĐKDN/Giấy phép thành lập/GP Hoạt động</w:t>
            </w:r>
            <w:r>
              <w:rPr>
                <w:i/>
                <w:lang w:val="fr-FR"/>
              </w:rPr>
              <w:t xml:space="preserve"> số :</w:t>
            </w:r>
          </w:p>
        </w:tc>
        <w:tc>
          <w:tcPr>
            <w:tcW w:w="6804" w:type="dxa"/>
            <w:gridSpan w:val="7"/>
            <w:tcBorders>
              <w:top w:val="dotted" w:sz="4" w:space="0" w:color="000000"/>
              <w:left w:val="dotted" w:sz="4" w:space="0" w:color="000000"/>
              <w:bottom w:val="dotted" w:sz="4" w:space="0" w:color="000000"/>
              <w:right w:val="single" w:sz="4" w:space="0" w:color="000000"/>
            </w:tcBorders>
          </w:tcPr>
          <w:p>
            <w:pPr>
              <w:pStyle w:val="Normal"/>
              <w:rPr>
                <w:i/>
                <w:i/>
                <w:lang w:val="de-DE"/>
              </w:rPr>
            </w:pPr>
            <w:r>
              <w:rPr>
                <w:i/>
                <w:lang w:val="it-IT"/>
              </w:rPr>
              <w:t>3301549896 do Sở Kế Hoạch Và Đầu Tư thành phố Huế cấp lần đầu ngày 03/10/2014, đăng ký thay đổi lần thứ 6 ngày 22/05/2025</w:t>
              <w:tab/>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dotted" w:sz="4" w:space="0" w:color="000000"/>
              <w:right w:val="dotted" w:sz="4" w:space="0" w:color="000000"/>
            </w:tcBorders>
          </w:tcPr>
          <w:p>
            <w:pPr>
              <w:pStyle w:val="Normal"/>
              <w:rPr>
                <w:i/>
                <w:i/>
                <w:lang w:val="fr-FR"/>
              </w:rPr>
            </w:pPr>
            <w:r>
              <w:rPr>
                <w:i/>
                <w:lang w:val="fr-FR"/>
              </w:rPr>
              <w:t>Trụ sở tại:</w:t>
            </w:r>
          </w:p>
        </w:tc>
        <w:tc>
          <w:tcPr>
            <w:tcW w:w="6804" w:type="dxa"/>
            <w:gridSpan w:val="7"/>
            <w:tcBorders>
              <w:top w:val="dotted" w:sz="4" w:space="0" w:color="000000"/>
              <w:left w:val="dotted" w:sz="4" w:space="0" w:color="000000"/>
              <w:bottom w:val="dotted" w:sz="4" w:space="0" w:color="000000"/>
              <w:right w:val="single" w:sz="4" w:space="0" w:color="000000"/>
            </w:tcBorders>
          </w:tcPr>
          <w:p>
            <w:pPr>
              <w:pStyle w:val="Normal"/>
              <w:rPr>
                <w:i/>
                <w:i/>
                <w:lang w:val="fr-FR"/>
              </w:rPr>
            </w:pPr>
            <w:r>
              <w:rPr>
                <w:i/>
                <w:lang w:val="fr-FR"/>
              </w:rPr>
              <w:t>Khe Mạ, phường Phong Điền, thành phố Huế</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dotted" w:sz="4" w:space="0" w:color="000000"/>
              <w:right w:val="dotted" w:sz="4" w:space="0" w:color="000000"/>
            </w:tcBorders>
          </w:tcPr>
          <w:p>
            <w:pPr>
              <w:pStyle w:val="Normal"/>
              <w:rPr>
                <w:i/>
                <w:i/>
                <w:lang w:val="fr-FR"/>
              </w:rPr>
            </w:pPr>
            <w:r>
              <w:rPr>
                <w:i/>
                <w:lang w:val="fr-FR"/>
              </w:rPr>
              <w:t>Điện thoại:</w:t>
            </w:r>
            <w:r>
              <w:rPr/>
              <w:t xml:space="preserve"> </w:t>
            </w:r>
            <w:r>
              <w:rPr>
                <w:i/>
                <w:lang w:val="fr-FR"/>
              </w:rPr>
              <w:t>054.3774994</w:t>
            </w:r>
          </w:p>
        </w:tc>
        <w:tc>
          <w:tcPr>
            <w:tcW w:w="6804" w:type="dxa"/>
            <w:gridSpan w:val="7"/>
            <w:tcBorders>
              <w:top w:val="dotted" w:sz="4" w:space="0" w:color="000000"/>
              <w:left w:val="dotted" w:sz="4" w:space="0" w:color="000000"/>
              <w:bottom w:val="dotted" w:sz="4" w:space="0" w:color="000000"/>
              <w:right w:val="single" w:sz="4" w:space="0" w:color="000000"/>
            </w:tcBorders>
          </w:tcPr>
          <w:p>
            <w:pPr>
              <w:pStyle w:val="Normal"/>
              <w:rPr>
                <w:i/>
                <w:i/>
              </w:rPr>
            </w:pPr>
            <w:r>
              <w:rPr>
                <w:i/>
              </w:rPr>
              <w:t xml:space="preserve">Fax </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single" w:sz="4" w:space="0" w:color="000000"/>
              <w:right w:val="dotted" w:sz="4" w:space="0" w:color="000000"/>
            </w:tcBorders>
          </w:tcPr>
          <w:p>
            <w:pPr>
              <w:pStyle w:val="Normal"/>
              <w:rPr>
                <w:i/>
                <w:i/>
                <w:lang w:val="fr-FR"/>
              </w:rPr>
            </w:pPr>
            <w:r>
              <w:rPr>
                <w:i/>
              </w:rPr>
              <w:t>Số hồ sơ khách hàng (CIF No.):</w:t>
            </w:r>
          </w:p>
        </w:tc>
        <w:tc>
          <w:tcPr>
            <w:tcW w:w="6804" w:type="dxa"/>
            <w:gridSpan w:val="7"/>
            <w:tcBorders>
              <w:top w:val="dotted" w:sz="4" w:space="0" w:color="000000"/>
              <w:left w:val="dotted" w:sz="4" w:space="0" w:color="000000"/>
              <w:bottom w:val="single" w:sz="4" w:space="0" w:color="000000"/>
              <w:right w:val="single" w:sz="4" w:space="0" w:color="000000"/>
            </w:tcBorders>
          </w:tcPr>
          <w:p>
            <w:pPr>
              <w:pStyle w:val="Normal"/>
              <w:rPr>
                <w:i/>
                <w:i/>
              </w:rPr>
            </w:pPr>
            <w:r>
              <w:rPr>
                <w:i/>
              </w:rPr>
              <w:t>3015093482</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dotted" w:sz="4" w:space="0" w:color="000000"/>
              <w:right w:val="single" w:sz="4" w:space="0" w:color="000000"/>
            </w:tcBorders>
          </w:tcPr>
          <w:p>
            <w:pPr>
              <w:pStyle w:val="Normal"/>
              <w:rPr>
                <w:i/>
                <w:i/>
              </w:rPr>
            </w:pPr>
            <w:r>
              <w:rPr>
                <w:i/>
              </w:rPr>
              <w:t>Tài khoản tại Ngân hàng TMCP Công thương:</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dotted" w:sz="4" w:space="0" w:color="000000"/>
              <w:right w:val="dotted" w:sz="4" w:space="0" w:color="000000"/>
            </w:tcBorders>
          </w:tcPr>
          <w:p>
            <w:pPr>
              <w:pStyle w:val="Normal"/>
              <w:rPr>
                <w:i/>
                <w:i/>
              </w:rPr>
            </w:pPr>
            <w:r>
              <w:rPr>
                <w:i/>
              </w:rPr>
            </w:r>
          </w:p>
        </w:tc>
        <w:tc>
          <w:tcPr>
            <w:tcW w:w="6804" w:type="dxa"/>
            <w:gridSpan w:val="7"/>
            <w:tcBorders>
              <w:top w:val="dotted" w:sz="4" w:space="0" w:color="000000"/>
              <w:left w:val="dotted" w:sz="4" w:space="0" w:color="000000"/>
              <w:bottom w:val="dotted" w:sz="4" w:space="0" w:color="000000"/>
              <w:right w:val="single" w:sz="4" w:space="0" w:color="000000"/>
            </w:tcBorders>
          </w:tcPr>
          <w:p>
            <w:pPr>
              <w:pStyle w:val="Normal"/>
              <w:rPr>
                <w:i/>
                <w:i/>
              </w:rPr>
            </w:pPr>
            <w:r>
              <w:rPr>
                <w:i/>
              </w:rPr>
              <w:t>TK thanh toán bằng đồng Việt Nam:  113002648147</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single" w:sz="4" w:space="0" w:color="000000"/>
              <w:right w:val="dotted" w:sz="4" w:space="0" w:color="000000"/>
            </w:tcBorders>
          </w:tcPr>
          <w:p>
            <w:pPr>
              <w:pStyle w:val="Normal"/>
              <w:rPr>
                <w:i/>
                <w:i/>
              </w:rPr>
            </w:pPr>
            <w:r>
              <w:rPr>
                <w:i/>
              </w:rPr>
            </w:r>
          </w:p>
        </w:tc>
        <w:tc>
          <w:tcPr>
            <w:tcW w:w="6804" w:type="dxa"/>
            <w:gridSpan w:val="7"/>
            <w:tcBorders>
              <w:top w:val="dotted" w:sz="4" w:space="0" w:color="000000"/>
              <w:left w:val="dotted" w:sz="4" w:space="0" w:color="000000"/>
              <w:bottom w:val="single" w:sz="4" w:space="0" w:color="000000"/>
              <w:right w:val="single" w:sz="4" w:space="0" w:color="000000"/>
            </w:tcBorders>
          </w:tcPr>
          <w:p>
            <w:pPr>
              <w:pStyle w:val="Normal"/>
              <w:rPr>
                <w:i/>
                <w:i/>
              </w:rPr>
            </w:pPr>
            <w:r>
              <w:rPr>
                <w:i/>
              </w:rPr>
              <w:t>TK thanh toán bằng ngoại tệ (nếu có):</w:t>
            </w:r>
            <w:r>
              <w:rPr/>
              <w:t xml:space="preserve"> </w:t>
            </w:r>
            <w:r>
              <w:rPr>
                <w:i/>
              </w:rPr>
              <w:t>111002648221</w:t>
            </w:r>
          </w:p>
        </w:tc>
        <w:tc>
          <w:tcPr>
            <w:tcW w:w="29" w:type="dxa"/>
            <w:tcBorders/>
          </w:tcPr>
          <w:p>
            <w:pPr>
              <w:pStyle w:val="Normal"/>
              <w:rPr/>
            </w:pPr>
            <w:r>
              <w:rPr/>
            </w:r>
          </w:p>
        </w:tc>
      </w:tr>
      <w:tr>
        <w:trPr/>
        <w:tc>
          <w:tcPr>
            <w:tcW w:w="3403" w:type="dxa"/>
            <w:gridSpan w:val="2"/>
            <w:tcBorders>
              <w:top w:val="single" w:sz="4" w:space="0" w:color="000000"/>
              <w:left w:val="single" w:sz="4" w:space="0" w:color="000000"/>
              <w:bottom w:val="dotted" w:sz="4" w:space="0" w:color="000000"/>
              <w:right w:val="dotted" w:sz="4" w:space="0" w:color="000000"/>
            </w:tcBorders>
            <w:vAlign w:val="center"/>
          </w:tcPr>
          <w:p>
            <w:pPr>
              <w:pStyle w:val="Normal"/>
              <w:tabs>
                <w:tab w:val="clear" w:pos="720"/>
                <w:tab w:val="left" w:pos="2727" w:leader="none"/>
                <w:tab w:val="left" w:pos="2988" w:leader="none"/>
              </w:tabs>
              <w:spacing w:lineRule="exact" w:line="280"/>
              <w:rPr>
                <w:i/>
                <w:i/>
              </w:rPr>
            </w:pPr>
            <w:r>
              <w:rPr>
                <w:i/>
              </w:rPr>
              <w:t>Người đại diện theo pháp luật:</w:t>
            </w:r>
          </w:p>
        </w:tc>
        <w:tc>
          <w:tcPr>
            <w:tcW w:w="6804" w:type="dxa"/>
            <w:gridSpan w:val="7"/>
            <w:tcBorders>
              <w:top w:val="single" w:sz="4" w:space="0" w:color="000000"/>
              <w:left w:val="dotted" w:sz="4" w:space="0" w:color="000000"/>
              <w:bottom w:val="dotted" w:sz="4" w:space="0" w:color="000000"/>
              <w:right w:val="single" w:sz="4" w:space="0" w:color="000000"/>
            </w:tcBorders>
            <w:vAlign w:val="center"/>
          </w:tcPr>
          <w:p>
            <w:pPr>
              <w:pStyle w:val="Normal"/>
              <w:tabs>
                <w:tab w:val="clear" w:pos="720"/>
                <w:tab w:val="left" w:pos="2727" w:leader="none"/>
                <w:tab w:val="left" w:pos="2988" w:leader="none"/>
              </w:tabs>
              <w:spacing w:lineRule="exact" w:line="280"/>
              <w:rPr>
                <w:i/>
                <w:i/>
              </w:rPr>
            </w:pPr>
            <w:r>
              <w:rPr>
                <w:i/>
                <w:lang w:val="fr-FR"/>
              </w:rPr>
              <w:t>Ông Lê Văn Huy</w:t>
            </w:r>
          </w:p>
        </w:tc>
        <w:tc>
          <w:tcPr>
            <w:tcW w:w="29" w:type="dxa"/>
            <w:tcBorders/>
          </w:tcPr>
          <w:p>
            <w:pPr>
              <w:pStyle w:val="Normal"/>
              <w:rPr/>
            </w:pPr>
            <w:r>
              <w:rPr/>
            </w:r>
          </w:p>
        </w:tc>
      </w:tr>
      <w:tr>
        <w:trPr/>
        <w:tc>
          <w:tcPr>
            <w:tcW w:w="3403" w:type="dxa"/>
            <w:gridSpan w:val="2"/>
            <w:tcBorders>
              <w:top w:val="single" w:sz="4" w:space="0" w:color="000000"/>
              <w:left w:val="single" w:sz="4" w:space="0" w:color="000000"/>
              <w:bottom w:val="dotted" w:sz="4" w:space="0" w:color="000000"/>
              <w:right w:val="dotted" w:sz="4" w:space="0" w:color="000000"/>
            </w:tcBorders>
            <w:vAlign w:val="center"/>
          </w:tcPr>
          <w:p>
            <w:pPr>
              <w:pStyle w:val="Normal"/>
              <w:tabs>
                <w:tab w:val="clear" w:pos="720"/>
                <w:tab w:val="left" w:pos="360" w:leader="none"/>
              </w:tabs>
              <w:rPr>
                <w:i/>
                <w:i/>
                <w:lang w:val="fr-FR"/>
              </w:rPr>
            </w:pPr>
            <w:r>
              <w:rPr>
                <w:i/>
                <w:lang w:val="fr-FR"/>
              </w:rPr>
              <w:t>Người đại diện:</w:t>
            </w:r>
          </w:p>
        </w:tc>
        <w:tc>
          <w:tcPr>
            <w:tcW w:w="6804" w:type="dxa"/>
            <w:gridSpan w:val="7"/>
            <w:tcBorders>
              <w:top w:val="single" w:sz="4" w:space="0" w:color="000000"/>
              <w:left w:val="dotted" w:sz="4" w:space="0" w:color="000000"/>
              <w:bottom w:val="dotted" w:sz="4" w:space="0" w:color="000000"/>
              <w:right w:val="single" w:sz="4" w:space="0" w:color="000000"/>
            </w:tcBorders>
            <w:vAlign w:val="center"/>
          </w:tcPr>
          <w:p>
            <w:pPr>
              <w:pStyle w:val="Normal"/>
              <w:rPr>
                <w:i/>
                <w:i/>
                <w:lang w:val="fr-FR"/>
              </w:rPr>
            </w:pPr>
            <w:r>
              <w:rPr>
                <w:i/>
                <w:lang w:val="fr-FR"/>
              </w:rPr>
              <w:t>Ông/bà: Lê Xuân Hồng Trung</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dotted" w:sz="4" w:space="0" w:color="000000"/>
              <w:right w:val="dotted" w:sz="4" w:space="0" w:color="000000"/>
            </w:tcBorders>
          </w:tcPr>
          <w:p>
            <w:pPr>
              <w:pStyle w:val="Normal"/>
              <w:tabs>
                <w:tab w:val="clear" w:pos="720"/>
                <w:tab w:val="left" w:pos="360" w:leader="none"/>
              </w:tabs>
              <w:jc w:val="both"/>
              <w:rPr>
                <w:i/>
                <w:i/>
                <w:lang w:val="fr-FR"/>
              </w:rPr>
            </w:pPr>
            <w:r>
              <w:rPr>
                <w:i/>
                <w:lang w:val="fr-FR"/>
              </w:rPr>
            </w:r>
          </w:p>
        </w:tc>
        <w:tc>
          <w:tcPr>
            <w:tcW w:w="6804" w:type="dxa"/>
            <w:gridSpan w:val="7"/>
            <w:tcBorders>
              <w:top w:val="dotted" w:sz="4" w:space="0" w:color="000000"/>
              <w:left w:val="dotted" w:sz="4" w:space="0" w:color="000000"/>
              <w:bottom w:val="dotted" w:sz="4" w:space="0" w:color="000000"/>
              <w:right w:val="single" w:sz="4" w:space="0" w:color="000000"/>
            </w:tcBorders>
          </w:tcPr>
          <w:p>
            <w:pPr>
              <w:pStyle w:val="Normal"/>
              <w:rPr>
                <w:i/>
                <w:i/>
                <w:lang w:val="fr-FR"/>
              </w:rPr>
            </w:pPr>
            <w:r>
              <w:rPr>
                <w:i/>
                <w:lang w:val="fr-FR"/>
              </w:rPr>
              <w:t>Chức vụ: Phó Giám đốc</w:t>
            </w:r>
          </w:p>
        </w:tc>
        <w:tc>
          <w:tcPr>
            <w:tcW w:w="29" w:type="dxa"/>
            <w:tcBorders/>
          </w:tcPr>
          <w:p>
            <w:pPr>
              <w:pStyle w:val="Normal"/>
              <w:rPr/>
            </w:pPr>
            <w:r>
              <w:rPr/>
            </w:r>
          </w:p>
        </w:tc>
      </w:tr>
      <w:tr>
        <w:trPr/>
        <w:tc>
          <w:tcPr>
            <w:tcW w:w="3403" w:type="dxa"/>
            <w:gridSpan w:val="2"/>
            <w:tcBorders>
              <w:top w:val="dotted" w:sz="4" w:space="0" w:color="000000"/>
              <w:left w:val="single" w:sz="4" w:space="0" w:color="000000"/>
              <w:bottom w:val="single" w:sz="4" w:space="0" w:color="000000"/>
              <w:right w:val="dotted" w:sz="4" w:space="0" w:color="000000"/>
            </w:tcBorders>
          </w:tcPr>
          <w:p>
            <w:pPr>
              <w:pStyle w:val="Normal"/>
              <w:tabs>
                <w:tab w:val="clear" w:pos="720"/>
                <w:tab w:val="left" w:pos="360" w:leader="none"/>
              </w:tabs>
              <w:jc w:val="both"/>
              <w:rPr>
                <w:i/>
                <w:i/>
                <w:lang w:val="fr-FR"/>
              </w:rPr>
            </w:pPr>
            <w:r>
              <w:rPr>
                <w:i/>
                <w:lang w:val="fr-FR"/>
              </w:rPr>
            </w:r>
          </w:p>
        </w:tc>
        <w:tc>
          <w:tcPr>
            <w:tcW w:w="6804" w:type="dxa"/>
            <w:gridSpan w:val="7"/>
            <w:tcBorders>
              <w:top w:val="dotted" w:sz="4" w:space="0" w:color="000000"/>
              <w:left w:val="dotted" w:sz="4" w:space="0" w:color="000000"/>
              <w:bottom w:val="single" w:sz="4" w:space="0" w:color="000000"/>
              <w:right w:val="single" w:sz="4" w:space="0" w:color="000000"/>
            </w:tcBorders>
          </w:tcPr>
          <w:p>
            <w:pPr>
              <w:pStyle w:val="Normal"/>
              <w:rPr>
                <w:i/>
                <w:i/>
                <w:lang w:val="fr-FR"/>
              </w:rPr>
            </w:pPr>
            <w:r>
              <w:rPr>
                <w:i/>
                <w:lang w:val="fr-FR"/>
              </w:rPr>
              <w:t>(Theo giấy ủy quyền số 62/UQPGD-HAPD do Giám Đốc kí ngày 19/05/2025)</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shd w:color="auto" w:fill="DBE5F1" w:val="clear"/>
          </w:tcPr>
          <w:p>
            <w:pPr>
              <w:pStyle w:val="Normal"/>
              <w:tabs>
                <w:tab w:val="clear" w:pos="720"/>
                <w:tab w:val="left" w:pos="2950" w:leader="dot"/>
                <w:tab w:val="right" w:pos="7630" w:leader="dot"/>
              </w:tabs>
              <w:jc w:val="center"/>
              <w:rPr>
                <w:b/>
                <w:i/>
                <w:i/>
                <w:sz w:val="26"/>
                <w:szCs w:val="26"/>
                <w:lang w:val="fr-FR"/>
              </w:rPr>
            </w:pPr>
            <w:r>
              <w:rPr>
                <w:b/>
                <w:i/>
                <w:sz w:val="26"/>
                <w:szCs w:val="26"/>
                <w:lang w:val="de-DE"/>
              </w:rPr>
              <w:t>NỘI DUNG ĐỀ NGHỊ</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dotted" w:sz="4" w:space="0" w:color="000000"/>
              <w:right w:val="single" w:sz="4" w:space="0" w:color="000000"/>
            </w:tcBorders>
          </w:tcPr>
          <w:p>
            <w:pPr>
              <w:pStyle w:val="Normal"/>
              <w:tabs>
                <w:tab w:val="clear" w:pos="720"/>
                <w:tab w:val="left" w:pos="2950" w:leader="dot"/>
                <w:tab w:val="right" w:pos="7630" w:leader="dot"/>
              </w:tabs>
              <w:jc w:val="both"/>
              <w:rPr>
                <w:i/>
                <w:i/>
                <w:lang w:val="de-DE"/>
              </w:rPr>
            </w:pPr>
            <w:r>
              <w:rPr>
                <w:i/>
                <w:lang w:val="de-DE"/>
              </w:rPr>
              <w:t>Căn cứ Hợp đồng chiết khấu Hối phiếu kèm Bộ Chứng Từ 06/2026-HĐCK/NHCT460-3301549896 ngày 04/06/2026ký giữa Ngân Hàng và Khách Hàng</w:t>
            </w:r>
          </w:p>
          <w:p>
            <w:pPr>
              <w:pStyle w:val="Normal"/>
              <w:tabs>
                <w:tab w:val="clear" w:pos="720"/>
                <w:tab w:val="left" w:pos="2950" w:leader="dot"/>
                <w:tab w:val="right" w:pos="7630" w:leader="dot"/>
              </w:tabs>
              <w:rPr>
                <w:i/>
                <w:i/>
                <w:lang w:val="de-DE"/>
              </w:rPr>
            </w:pPr>
            <w:r>
              <w:rPr>
                <w:i/>
                <w:lang w:val="de-DE"/>
              </w:rPr>
              <w:t>Căn cứ Hối phiếu kèm Bộ Chứng Từ giao hàng và/hoặc cung ứng dịch vụ theo phương thức thanh toán:</w:t>
            </w:r>
          </w:p>
          <w:p>
            <w:pPr>
              <w:pStyle w:val="Normal"/>
              <w:tabs>
                <w:tab w:val="clear" w:pos="720"/>
                <w:tab w:val="left" w:pos="2950" w:leader="dot"/>
                <w:tab w:val="right" w:pos="7630" w:leader="dot"/>
              </w:tabs>
              <w:rPr>
                <w:i/>
                <w:i/>
                <w:lang w:val="de-DE"/>
              </w:rPr>
            </w:pPr>
            <w:r>
              <w:rPr>
                <w:i/>
                <w:lang w:val="de-DE"/>
              </w:rPr>
              <w:t></w:t>
            </w:r>
            <w:r>
              <w:rPr>
                <w:i/>
                <w:lang w:val="de-DE"/>
              </w:rPr>
              <w:t xml:space="preserve">Nhờ thu :  </w:t>
            </w:r>
            <w:r>
              <w:rPr>
                <w:rFonts w:cs="Segoe UI Symbol" w:ascii="Segoe UI Symbol" w:hAnsi="Segoe UI Symbol"/>
                <w:b/>
                <w:bCs/>
                <w:i/>
                <w:lang w:val="de-DE"/>
              </w:rPr>
              <w:t>✔</w:t>
            </w:r>
            <w:r>
              <w:rPr>
                <w:i/>
                <w:lang w:val="de-DE"/>
              </w:rPr>
              <w:t xml:space="preserve"> D/P    D/P… ngày    D/A…. ngày</w:t>
            </w:r>
          </w:p>
          <w:p>
            <w:pPr>
              <w:pStyle w:val="Normal"/>
              <w:tabs>
                <w:tab w:val="clear" w:pos="720"/>
                <w:tab w:val="left" w:pos="2950" w:leader="dot"/>
                <w:tab w:val="right" w:pos="7630" w:leader="dot"/>
              </w:tabs>
              <w:rPr>
                <w:i/>
                <w:i/>
                <w:lang w:val="de-DE"/>
              </w:rPr>
            </w:pPr>
            <w:r>
              <w:rPr>
                <w:i/>
                <w:lang w:val="de-DE"/>
              </w:rPr>
              <w:t></w:t>
            </w:r>
            <w:r>
              <w:rPr>
                <w:i/>
                <w:lang w:val="de-DE"/>
              </w:rPr>
              <w:t>TTR</w:t>
            </w:r>
          </w:p>
          <w:p>
            <w:pPr>
              <w:pStyle w:val="Normal"/>
              <w:tabs>
                <w:tab w:val="clear" w:pos="720"/>
                <w:tab w:val="left" w:pos="2950" w:leader="dot"/>
                <w:tab w:val="right" w:pos="7630" w:leader="dot"/>
              </w:tabs>
              <w:rPr>
                <w:i/>
                <w:i/>
                <w:lang w:val="de-DE"/>
              </w:rPr>
            </w:pPr>
            <w:r>
              <w:rPr>
                <w:i/>
                <w:lang w:val="de-DE"/>
              </w:rPr>
              <w:t></w:t>
            </w:r>
            <w:r>
              <w:rPr>
                <w:i/>
                <w:lang w:val="de-DE"/>
              </w:rPr>
              <w:t>Khác:</w:t>
            </w:r>
          </w:p>
        </w:tc>
        <w:tc>
          <w:tcPr>
            <w:tcW w:w="29" w:type="dxa"/>
            <w:tcBorders/>
          </w:tcPr>
          <w:p>
            <w:pPr>
              <w:pStyle w:val="Normal"/>
              <w:rPr/>
            </w:pPr>
            <w:r>
              <w:rPr/>
            </w:r>
          </w:p>
        </w:tc>
      </w:tr>
      <w:tr>
        <w:trPr>
          <w:trHeight w:val="372" w:hRule="atLeast"/>
        </w:trPr>
        <w:tc>
          <w:tcPr>
            <w:tcW w:w="10207" w:type="dxa"/>
            <w:gridSpan w:val="9"/>
            <w:tcBorders>
              <w:top w:val="single" w:sz="4" w:space="0" w:color="000000"/>
              <w:left w:val="single" w:sz="4" w:space="0" w:color="000000"/>
              <w:bottom w:val="single" w:sz="4" w:space="0" w:color="000000"/>
              <w:right w:val="single" w:sz="4" w:space="0" w:color="000000"/>
            </w:tcBorders>
          </w:tcPr>
          <w:p>
            <w:pPr>
              <w:pStyle w:val="Normal"/>
              <w:tabs>
                <w:tab w:val="clear" w:pos="720"/>
                <w:tab w:val="left" w:pos="6576" w:leader="none"/>
              </w:tabs>
              <w:rPr>
                <w:i/>
                <w:i/>
                <w:lang w:val="de-DE"/>
              </w:rPr>
            </w:pPr>
            <w:r>
              <w:rPr>
                <w:i/>
                <w:lang w:val="de-DE"/>
              </w:rPr>
              <w:t>1. Loại hàng hóa và/hoặc dịch vụ:</w:t>
            </w:r>
            <w:r>
              <w:rPr/>
              <w:t xml:space="preserve"> </w:t>
            </w:r>
            <w:r>
              <w:rPr>
                <w:i/>
                <w:lang w:val="de-DE"/>
              </w:rPr>
              <w:t>{commodity}</w:t>
            </w:r>
          </w:p>
          <w:p>
            <w:pPr>
              <w:pStyle w:val="Normal"/>
              <w:tabs>
                <w:tab w:val="clear" w:pos="720"/>
                <w:tab w:val="left" w:pos="6576" w:leader="none"/>
              </w:tabs>
              <w:rPr>
                <w:i/>
                <w:i/>
                <w:lang w:val="de-DE"/>
              </w:rPr>
            </w:pPr>
            <w:r>
              <w:rPr>
                <w:i/>
                <w:lang w:val="de-DE"/>
              </w:rPr>
              <w:t>2. Tên và địa chỉ của hãng vận chuyển hàng hóa (nếu có): {shipping_line}</w:t>
            </w:r>
          </w:p>
          <w:p>
            <w:pPr>
              <w:pStyle w:val="Normal"/>
              <w:tabs>
                <w:tab w:val="clear" w:pos="720"/>
                <w:tab w:val="left" w:pos="6576" w:leader="none"/>
              </w:tabs>
              <w:rPr>
                <w:i/>
                <w:i/>
                <w:lang w:val="de-DE"/>
              </w:rPr>
            </w:pPr>
            <w:r>
              <w:rPr>
                <w:i/>
                <w:lang w:val="de-DE"/>
              </w:rPr>
              <w:t>3. Hối phiếu kèm Bộ Chứng Từ xuất trình và các tài liệu gửi kèm (nếu có) bao gồm:</w:t>
            </w:r>
          </w:p>
          <w:tbl>
            <w:tblPr>
              <w:tblW w:w="1020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44"/>
              <w:gridCol w:w="3402"/>
              <w:gridCol w:w="3261"/>
            </w:tblGrid>
            <w:tr>
              <w:trPr/>
              <w:tc>
                <w:tcPr>
                  <w:tcW w:w="3544" w:type="dxa"/>
                  <w:tcBorders>
                    <w:top w:val="single" w:sz="4" w:space="0" w:color="000000"/>
                    <w:left w:val="single" w:sz="4" w:space="0" w:color="000000"/>
                    <w:right w:val="single" w:sz="4" w:space="0" w:color="000000"/>
                  </w:tcBorders>
                </w:tcPr>
                <w:p>
                  <w:pPr>
                    <w:pStyle w:val="Normal"/>
                    <w:rPr>
                      <w:i/>
                      <w:i/>
                      <w:sz w:val="20"/>
                      <w:szCs w:val="20"/>
                    </w:rPr>
                  </w:pPr>
                  <w:r>
                    <w:rPr>
                      <w:rFonts w:cs="Wingdings" w:ascii="Wingdings" w:hAnsi="Wingdings"/>
                      <w:i/>
                      <w:sz w:val="20"/>
                      <w:szCs w:val="20"/>
                    </w:rPr>
                    <w:t>{ci_box}</w:t>
                  </w:r>
                  <w:r>
                    <w:rPr>
                      <w:i/>
                      <w:sz w:val="20"/>
                      <w:szCs w:val="20"/>
                    </w:rPr>
                    <w:t xml:space="preserve"> </w:t>
                  </w:r>
                  <w:r>
                    <w:rPr>
                      <w:i/>
                      <w:sz w:val="20"/>
                      <w:szCs w:val="20"/>
                    </w:rPr>
                    <w:t>Commercial Invoice</w:t>
                  </w:r>
                </w:p>
              </w:tc>
              <w:tc>
                <w:tcPr>
                  <w:tcW w:w="3402" w:type="dxa"/>
                  <w:tcBorders>
                    <w:top w:val="single" w:sz="4" w:space="0" w:color="000000"/>
                    <w:left w:val="single" w:sz="4" w:space="0" w:color="000000"/>
                    <w:right w:val="single" w:sz="4" w:space="0" w:color="000000"/>
                  </w:tcBorders>
                </w:tcPr>
                <w:p>
                  <w:pPr>
                    <w:pStyle w:val="Normal"/>
                    <w:rPr>
                      <w:i/>
                      <w:i/>
                      <w:sz w:val="20"/>
                      <w:szCs w:val="20"/>
                    </w:rPr>
                  </w:pPr>
                  <w:r>
                    <w:rPr>
                      <w:rFonts w:cs="Wingdings" w:ascii="Wingdings" w:hAnsi="Wingdings"/>
                      <w:i/>
                      <w:sz w:val="20"/>
                      <w:szCs w:val="20"/>
                    </w:rPr>
                    <w:t>{boe_box}</w:t>
                  </w:r>
                  <w:r>
                    <w:rPr>
                      <w:i/>
                      <w:sz w:val="20"/>
                      <w:szCs w:val="20"/>
                    </w:rPr>
                    <w:t xml:space="preserve">  </w:t>
                  </w:r>
                  <w:r>
                    <w:rPr>
                      <w:i/>
                      <w:sz w:val="20"/>
                      <w:szCs w:val="20"/>
                    </w:rPr>
                    <w:t>Drafts</w:t>
                  </w:r>
                </w:p>
              </w:tc>
              <w:tc>
                <w:tcPr>
                  <w:tcW w:w="3261" w:type="dxa"/>
                  <w:tcBorders>
                    <w:top w:val="single" w:sz="4" w:space="0" w:color="000000"/>
                    <w:left w:val="single" w:sz="4" w:space="0" w:color="000000"/>
                    <w:right w:val="single" w:sz="4" w:space="0" w:color="000000"/>
                  </w:tcBorders>
                </w:tcPr>
                <w:p>
                  <w:pPr>
                    <w:pStyle w:val="Normal"/>
                    <w:ind w:right="447"/>
                    <w:rPr>
                      <w:i/>
                      <w:i/>
                      <w:sz w:val="20"/>
                      <w:szCs w:val="20"/>
                    </w:rPr>
                  </w:pPr>
                  <w:r>
                    <w:rPr>
                      <w:rFonts w:cs="Wingdings" w:ascii="Wingdings" w:hAnsi="Wingdings"/>
                      <w:i/>
                      <w:sz w:val="20"/>
                      <w:szCs w:val="20"/>
                    </w:rPr>
                    <w:t>{test_box}</w:t>
                  </w:r>
                  <w:r>
                    <w:rPr>
                      <w:i/>
                      <w:sz w:val="20"/>
                      <w:szCs w:val="20"/>
                    </w:rPr>
                    <w:t xml:space="preserve"> </w:t>
                  </w:r>
                  <w:r>
                    <w:rPr>
                      <w:i/>
                      <w:sz w:val="20"/>
                      <w:szCs w:val="20"/>
                    </w:rPr>
                    <w:t>TEST RESULTS</w:t>
                  </w:r>
                </w:p>
              </w:tc>
            </w:tr>
            <w:tr>
              <w:trPr/>
              <w:tc>
                <w:tcPr>
                  <w:tcW w:w="3544" w:type="dxa"/>
                  <w:tcBorders>
                    <w:left w:val="single" w:sz="4" w:space="0" w:color="000000"/>
                    <w:right w:val="single" w:sz="4" w:space="0" w:color="000000"/>
                  </w:tcBorders>
                </w:tcPr>
                <w:p>
                  <w:pPr>
                    <w:pStyle w:val="Normal"/>
                    <w:ind w:firstLine="1003"/>
                    <w:rPr>
                      <w:i/>
                      <w:i/>
                      <w:sz w:val="20"/>
                      <w:szCs w:val="20"/>
                    </w:rPr>
                  </w:pPr>
                  <w:r>
                    <w:rPr>
                      <w:i/>
                      <w:sz w:val="20"/>
                      <w:szCs w:val="20"/>
                    </w:rPr>
                    <w:t>Original (s): {ci_orig}</w:t>
                  </w:r>
                </w:p>
              </w:tc>
              <w:tc>
                <w:tcPr>
                  <w:tcW w:w="3402" w:type="dxa"/>
                  <w:tcBorders>
                    <w:left w:val="single" w:sz="4" w:space="0" w:color="000000"/>
                    <w:right w:val="single" w:sz="4" w:space="0" w:color="000000"/>
                  </w:tcBorders>
                </w:tcPr>
                <w:p>
                  <w:pPr>
                    <w:pStyle w:val="Normal"/>
                    <w:ind w:firstLine="1000"/>
                    <w:rPr>
                      <w:i/>
                      <w:i/>
                      <w:sz w:val="20"/>
                      <w:szCs w:val="20"/>
                    </w:rPr>
                  </w:pPr>
                  <w:r>
                    <w:rPr>
                      <w:i/>
                      <w:sz w:val="20"/>
                      <w:szCs w:val="20"/>
                    </w:rPr>
                    <w:t>Tenor:</w:t>
                  </w:r>
                </w:p>
              </w:tc>
              <w:tc>
                <w:tcPr>
                  <w:tcW w:w="3261" w:type="dxa"/>
                  <w:tcBorders>
                    <w:left w:val="single" w:sz="4" w:space="0" w:color="000000"/>
                    <w:right w:val="single" w:sz="4" w:space="0" w:color="000000"/>
                  </w:tcBorders>
                </w:tcPr>
                <w:p>
                  <w:pPr>
                    <w:pStyle w:val="Normal"/>
                    <w:ind w:firstLine="1000" w:right="447"/>
                    <w:rPr>
                      <w:i/>
                      <w:i/>
                      <w:sz w:val="20"/>
                      <w:szCs w:val="20"/>
                    </w:rPr>
                  </w:pPr>
                  <w:r>
                    <w:rPr>
                      <w:i/>
                      <w:sz w:val="20"/>
                      <w:szCs w:val="20"/>
                    </w:rPr>
                    <w:t>Original (s): {test_orig}</w:t>
                  </w:r>
                </w:p>
              </w:tc>
            </w:tr>
            <w:tr>
              <w:trPr/>
              <w:tc>
                <w:tcPr>
                  <w:tcW w:w="3544" w:type="dxa"/>
                  <w:tcBorders>
                    <w:left w:val="single" w:sz="4" w:space="0" w:color="000000"/>
                    <w:bottom w:val="dotted" w:sz="4" w:space="0" w:color="000000"/>
                    <w:right w:val="single" w:sz="4" w:space="0" w:color="000000"/>
                  </w:tcBorders>
                </w:tcPr>
                <w:p>
                  <w:pPr>
                    <w:pStyle w:val="Normal"/>
                    <w:ind w:firstLine="1003"/>
                    <w:rPr>
                      <w:i/>
                      <w:i/>
                      <w:sz w:val="20"/>
                      <w:szCs w:val="20"/>
                    </w:rPr>
                  </w:pPr>
                  <w:r>
                    <w:rPr>
                      <w:i/>
                      <w:sz w:val="20"/>
                      <w:szCs w:val="20"/>
                    </w:rPr>
                    <w:t>Copy (ies): {ci_copy}</w:t>
                  </w:r>
                </w:p>
              </w:tc>
              <w:tc>
                <w:tcPr>
                  <w:tcW w:w="3402" w:type="dxa"/>
                  <w:tcBorders>
                    <w:left w:val="single" w:sz="4" w:space="0" w:color="000000"/>
                    <w:bottom w:val="dotted" w:sz="4" w:space="0" w:color="000000"/>
                    <w:right w:val="single" w:sz="4" w:space="0" w:color="000000"/>
                  </w:tcBorders>
                </w:tcPr>
                <w:p>
                  <w:pPr>
                    <w:pStyle w:val="Normal"/>
                    <w:ind w:firstLine="1000"/>
                    <w:rPr>
                      <w:i/>
                      <w:i/>
                      <w:sz w:val="20"/>
                      <w:szCs w:val="20"/>
                    </w:rPr>
                  </w:pPr>
                  <w:r>
                    <w:rPr>
                      <w:i/>
                      <w:sz w:val="20"/>
                      <w:szCs w:val="20"/>
                    </w:rPr>
                    <w:t>Original (s): {boe_orig}</w:t>
                  </w:r>
                </w:p>
                <w:p>
                  <w:pPr>
                    <w:pStyle w:val="Normal"/>
                    <w:ind w:firstLine="1000"/>
                    <w:rPr>
                      <w:i/>
                      <w:i/>
                      <w:sz w:val="20"/>
                      <w:szCs w:val="20"/>
                    </w:rPr>
                  </w:pPr>
                  <w:r>
                    <w:rPr>
                      <w:i/>
                      <w:sz w:val="20"/>
                      <w:szCs w:val="20"/>
                    </w:rPr>
                    <w:t>Copy (ies): {boe_copy}</w:t>
                  </w:r>
                </w:p>
              </w:tc>
              <w:tc>
                <w:tcPr>
                  <w:tcW w:w="3261" w:type="dxa"/>
                  <w:tcBorders>
                    <w:left w:val="single" w:sz="4" w:space="0" w:color="000000"/>
                    <w:bottom w:val="dotted" w:sz="4" w:space="0" w:color="000000"/>
                    <w:right w:val="single" w:sz="4" w:space="0" w:color="000000"/>
                  </w:tcBorders>
                </w:tcPr>
                <w:p>
                  <w:pPr>
                    <w:pStyle w:val="Normal"/>
                    <w:ind w:firstLine="1000" w:right="447"/>
                    <w:rPr>
                      <w:i/>
                      <w:i/>
                      <w:sz w:val="20"/>
                      <w:szCs w:val="20"/>
                    </w:rPr>
                  </w:pPr>
                  <w:r>
                    <w:rPr>
                      <w:i/>
                      <w:sz w:val="20"/>
                      <w:szCs w:val="20"/>
                    </w:rPr>
                    <w:t>Copy (ies): {test_copy}</w:t>
                  </w:r>
                </w:p>
              </w:tc>
            </w:tr>
            <w:tr>
              <w:trPr/>
              <w:tc>
                <w:tcPr>
                  <w:tcW w:w="3544" w:type="dxa"/>
                  <w:tcBorders>
                    <w:top w:val="dotted" w:sz="4" w:space="0" w:color="000000"/>
                    <w:left w:val="single" w:sz="4" w:space="0" w:color="000000"/>
                    <w:right w:val="single" w:sz="4" w:space="0" w:color="000000"/>
                  </w:tcBorders>
                </w:tcPr>
                <w:p>
                  <w:pPr>
                    <w:pStyle w:val="Normal"/>
                    <w:rPr>
                      <w:i/>
                      <w:i/>
                      <w:sz w:val="20"/>
                      <w:szCs w:val="20"/>
                    </w:rPr>
                  </w:pPr>
                  <w:r>
                    <w:rPr>
                      <w:rFonts w:eastAsia="Wingdings 2" w:cs="Wingdings" w:ascii="Wingdings" w:hAnsi="Wingdings"/>
                      <w:i/>
                      <w:sz w:val="20"/>
                      <w:szCs w:val="20"/>
                    </w:rPr>
                    <w:t>{bl_box}</w:t>
                  </w:r>
                  <w:r>
                    <w:rPr>
                      <w:i/>
                      <w:sz w:val="20"/>
                      <w:szCs w:val="20"/>
                    </w:rPr>
                    <w:t xml:space="preserve"> </w:t>
                  </w:r>
                  <w:r>
                    <w:rPr>
                      <w:i/>
                      <w:sz w:val="20"/>
                      <w:szCs w:val="20"/>
                    </w:rPr>
                    <w:t>Ocean/ Marine bills of lading</w:t>
                  </w:r>
                </w:p>
              </w:tc>
              <w:tc>
                <w:tcPr>
                  <w:tcW w:w="3402" w:type="dxa"/>
                  <w:tcBorders>
                    <w:top w:val="dotted" w:sz="4" w:space="0" w:color="000000"/>
                    <w:left w:val="single" w:sz="4" w:space="0" w:color="000000"/>
                    <w:right w:val="single" w:sz="4" w:space="0" w:color="000000"/>
                  </w:tcBorders>
                </w:tcPr>
                <w:p>
                  <w:pPr>
                    <w:pStyle w:val="Normal"/>
                    <w:rPr>
                      <w:i/>
                      <w:i/>
                      <w:sz w:val="20"/>
                      <w:szCs w:val="20"/>
                    </w:rPr>
                  </w:pPr>
                  <w:r>
                    <w:rPr>
                      <w:rFonts w:cs="Wingdings" w:ascii="Wingdings" w:hAnsi="Wingdings"/>
                      <w:i/>
                      <w:sz w:val="20"/>
                      <w:szCs w:val="20"/>
                    </w:rPr>
                    <w:t>{pkl_box}</w:t>
                  </w:r>
                  <w:r>
                    <w:rPr>
                      <w:i/>
                      <w:sz w:val="20"/>
                      <w:szCs w:val="20"/>
                    </w:rPr>
                    <w:t xml:space="preserve"> </w:t>
                  </w:r>
                  <w:r>
                    <w:rPr>
                      <w:i/>
                      <w:sz w:val="20"/>
                      <w:szCs w:val="20"/>
                    </w:rPr>
                    <w:t>(Detailed) Packing List</w:t>
                  </w:r>
                </w:p>
              </w:tc>
              <w:tc>
                <w:tcPr>
                  <w:tcW w:w="3261" w:type="dxa"/>
                  <w:tcBorders>
                    <w:top w:val="dotted" w:sz="4" w:space="0" w:color="000000"/>
                    <w:left w:val="single" w:sz="4" w:space="0" w:color="000000"/>
                    <w:right w:val="single" w:sz="4" w:space="0" w:color="000000"/>
                  </w:tcBorders>
                </w:tcPr>
                <w:p>
                  <w:pPr>
                    <w:pStyle w:val="Normal"/>
                    <w:ind w:right="447"/>
                    <w:rPr>
                      <w:i/>
                      <w:i/>
                      <w:sz w:val="20"/>
                      <w:szCs w:val="20"/>
                    </w:rPr>
                  </w:pPr>
                  <w:r>
                    <w:rPr>
                      <w:rFonts w:cs="Wingdings" w:ascii="Wingdings" w:hAnsi="Wingdings"/>
                      <w:i/>
                      <w:sz w:val="20"/>
                      <w:szCs w:val="20"/>
                    </w:rPr>
                    <w:t>{nw_box}</w:t>
                  </w:r>
                  <w:r>
                    <w:rPr>
                      <w:i/>
                      <w:sz w:val="20"/>
                      <w:szCs w:val="20"/>
                    </w:rPr>
                    <w:t xml:space="preserve"> </w:t>
                  </w:r>
                  <w:r>
                    <w:rPr>
                      <w:i/>
                      <w:sz w:val="20"/>
                      <w:szCs w:val="20"/>
                    </w:rPr>
                    <w:t>Non wood Certificate</w:t>
                  </w:r>
                </w:p>
              </w:tc>
            </w:tr>
            <w:tr>
              <w:trPr/>
              <w:tc>
                <w:tcPr>
                  <w:tcW w:w="3544" w:type="dxa"/>
                  <w:tcBorders>
                    <w:left w:val="single" w:sz="4" w:space="0" w:color="000000"/>
                    <w:right w:val="single" w:sz="4" w:space="0" w:color="000000"/>
                  </w:tcBorders>
                </w:tcPr>
                <w:p>
                  <w:pPr>
                    <w:pStyle w:val="Normal"/>
                    <w:ind w:firstLine="1003"/>
                    <w:rPr>
                      <w:i/>
                      <w:i/>
                      <w:sz w:val="20"/>
                      <w:szCs w:val="20"/>
                    </w:rPr>
                  </w:pPr>
                  <w:r>
                    <w:rPr>
                      <w:i/>
                      <w:sz w:val="20"/>
                      <w:szCs w:val="20"/>
                    </w:rPr>
                    <w:t>Original (s): {bl_orig}</w:t>
                  </w:r>
                </w:p>
              </w:tc>
              <w:tc>
                <w:tcPr>
                  <w:tcW w:w="3402" w:type="dxa"/>
                  <w:tcBorders>
                    <w:left w:val="single" w:sz="4" w:space="0" w:color="000000"/>
                    <w:right w:val="single" w:sz="4" w:space="0" w:color="000000"/>
                  </w:tcBorders>
                </w:tcPr>
                <w:p>
                  <w:pPr>
                    <w:pStyle w:val="Normal"/>
                    <w:ind w:firstLine="1000"/>
                    <w:rPr>
                      <w:i/>
                      <w:i/>
                      <w:sz w:val="20"/>
                      <w:szCs w:val="20"/>
                    </w:rPr>
                  </w:pPr>
                  <w:r>
                    <w:rPr>
                      <w:i/>
                      <w:sz w:val="20"/>
                      <w:szCs w:val="20"/>
                    </w:rPr>
                    <w:t>Original (s): {pkl_orig}</w:t>
                  </w:r>
                </w:p>
              </w:tc>
              <w:tc>
                <w:tcPr>
                  <w:tcW w:w="3261" w:type="dxa"/>
                  <w:tcBorders>
                    <w:left w:val="single" w:sz="4" w:space="0" w:color="000000"/>
                    <w:right w:val="single" w:sz="4" w:space="0" w:color="000000"/>
                  </w:tcBorders>
                </w:tcPr>
                <w:p>
                  <w:pPr>
                    <w:pStyle w:val="Normal"/>
                    <w:ind w:firstLine="1000" w:right="447"/>
                    <w:rPr>
                      <w:i/>
                      <w:i/>
                      <w:sz w:val="20"/>
                      <w:szCs w:val="20"/>
                    </w:rPr>
                  </w:pPr>
                  <w:r>
                    <w:rPr>
                      <w:i/>
                      <w:sz w:val="20"/>
                      <w:szCs w:val="20"/>
                    </w:rPr>
                    <w:t>Original (s): {nw_orig}</w:t>
                  </w:r>
                </w:p>
              </w:tc>
            </w:tr>
            <w:tr>
              <w:trPr/>
              <w:tc>
                <w:tcPr>
                  <w:tcW w:w="3544" w:type="dxa"/>
                  <w:tcBorders>
                    <w:left w:val="single" w:sz="4" w:space="0" w:color="000000"/>
                    <w:bottom w:val="dotted" w:sz="4" w:space="0" w:color="000000"/>
                    <w:right w:val="single" w:sz="4" w:space="0" w:color="000000"/>
                  </w:tcBorders>
                </w:tcPr>
                <w:p>
                  <w:pPr>
                    <w:pStyle w:val="Normal"/>
                    <w:ind w:firstLine="1003"/>
                    <w:rPr>
                      <w:i/>
                      <w:i/>
                      <w:sz w:val="20"/>
                      <w:szCs w:val="20"/>
                    </w:rPr>
                  </w:pPr>
                  <w:r>
                    <w:rPr>
                      <w:i/>
                      <w:sz w:val="20"/>
                      <w:szCs w:val="20"/>
                    </w:rPr>
                    <w:t>Copy (ies): {bl_copy}</w:t>
                  </w:r>
                </w:p>
              </w:tc>
              <w:tc>
                <w:tcPr>
                  <w:tcW w:w="3402" w:type="dxa"/>
                  <w:tcBorders>
                    <w:left w:val="single" w:sz="4" w:space="0" w:color="000000"/>
                    <w:bottom w:val="dotted" w:sz="4" w:space="0" w:color="000000"/>
                    <w:right w:val="single" w:sz="4" w:space="0" w:color="000000"/>
                  </w:tcBorders>
                </w:tcPr>
                <w:p>
                  <w:pPr>
                    <w:pStyle w:val="Normal"/>
                    <w:ind w:firstLine="1000"/>
                    <w:rPr>
                      <w:i/>
                      <w:i/>
                      <w:sz w:val="20"/>
                      <w:szCs w:val="20"/>
                    </w:rPr>
                  </w:pPr>
                  <w:r>
                    <w:rPr>
                      <w:i/>
                      <w:sz w:val="20"/>
                      <w:szCs w:val="20"/>
                    </w:rPr>
                    <w:t>Copy (ies): {pkl_copy}</w:t>
                  </w:r>
                </w:p>
              </w:tc>
              <w:tc>
                <w:tcPr>
                  <w:tcW w:w="3261" w:type="dxa"/>
                  <w:tcBorders>
                    <w:left w:val="single" w:sz="4" w:space="0" w:color="000000"/>
                    <w:bottom w:val="dotted" w:sz="4" w:space="0" w:color="000000"/>
                    <w:right w:val="single" w:sz="4" w:space="0" w:color="000000"/>
                  </w:tcBorders>
                </w:tcPr>
                <w:p>
                  <w:pPr>
                    <w:pStyle w:val="Normal"/>
                    <w:ind w:firstLine="1000" w:right="447"/>
                    <w:rPr>
                      <w:i/>
                      <w:i/>
                      <w:sz w:val="20"/>
                      <w:szCs w:val="20"/>
                    </w:rPr>
                  </w:pPr>
                  <w:r>
                    <w:rPr>
                      <w:i/>
                      <w:sz w:val="20"/>
                      <w:szCs w:val="20"/>
                    </w:rPr>
                    <w:t>Copy (ies): {nw_copy}</w:t>
                  </w:r>
                </w:p>
              </w:tc>
            </w:tr>
            <w:tr>
              <w:trPr/>
              <w:tc>
                <w:tcPr>
                  <w:tcW w:w="3544" w:type="dxa"/>
                  <w:tcBorders>
                    <w:top w:val="dotted" w:sz="4" w:space="0" w:color="000000"/>
                    <w:left w:val="single" w:sz="4" w:space="0" w:color="000000"/>
                    <w:right w:val="single" w:sz="4" w:space="0" w:color="000000"/>
                  </w:tcBorders>
                </w:tcPr>
                <w:p>
                  <w:pPr>
                    <w:pStyle w:val="Normal"/>
                    <w:rPr>
                      <w:i/>
                      <w:i/>
                      <w:sz w:val="20"/>
                      <w:szCs w:val="20"/>
                    </w:rPr>
                  </w:pPr>
                  <w:r>
                    <w:rPr>
                      <w:rFonts w:eastAsia="Wingdings 2" w:cs="Wingdings" w:ascii="Wingdings" w:hAnsi="Wingdings"/>
                      <w:i/>
                      <w:sz w:val="20"/>
                      <w:szCs w:val="20"/>
                    </w:rPr>
                    <w:t>{awb_box}</w:t>
                  </w:r>
                  <w:r>
                    <w:rPr>
                      <w:i/>
                      <w:sz w:val="20"/>
                      <w:szCs w:val="20"/>
                    </w:rPr>
                    <w:t xml:space="preserve"> </w:t>
                  </w:r>
                  <w:r>
                    <w:rPr>
                      <w:i/>
                      <w:sz w:val="20"/>
                      <w:szCs w:val="20"/>
                    </w:rPr>
                    <w:t>Airway Bill</w:t>
                  </w:r>
                </w:p>
              </w:tc>
              <w:tc>
                <w:tcPr>
                  <w:tcW w:w="3402" w:type="dxa"/>
                  <w:tcBorders>
                    <w:top w:val="dotted" w:sz="4" w:space="0" w:color="000000"/>
                    <w:left w:val="single" w:sz="4" w:space="0" w:color="000000"/>
                    <w:right w:val="single" w:sz="4" w:space="0" w:color="000000"/>
                  </w:tcBorders>
                </w:tcPr>
                <w:p>
                  <w:pPr>
                    <w:pStyle w:val="Normal"/>
                    <w:rPr>
                      <w:i/>
                      <w:i/>
                      <w:sz w:val="20"/>
                      <w:szCs w:val="20"/>
                    </w:rPr>
                  </w:pPr>
                  <w:r>
                    <w:rPr>
                      <w:rFonts w:eastAsia="Wingdings 2" w:cs="Wingdings" w:ascii="Wingdings" w:hAnsi="Wingdings"/>
                      <w:i/>
                      <w:sz w:val="20"/>
                      <w:szCs w:val="20"/>
                    </w:rPr>
                    <w:t>{co_box}</w:t>
                  </w:r>
                  <w:r>
                    <w:rPr>
                      <w:i/>
                      <w:sz w:val="20"/>
                      <w:szCs w:val="20"/>
                    </w:rPr>
                    <w:t xml:space="preserve"> </w:t>
                  </w:r>
                  <w:r>
                    <w:rPr>
                      <w:i/>
                      <w:sz w:val="20"/>
                      <w:szCs w:val="20"/>
                    </w:rPr>
                    <w:t>Certificate of Origin</w:t>
                  </w:r>
                </w:p>
              </w:tc>
              <w:tc>
                <w:tcPr>
                  <w:tcW w:w="3261" w:type="dxa"/>
                  <w:tcBorders>
                    <w:top w:val="dotted" w:sz="4" w:space="0" w:color="000000"/>
                    <w:left w:val="single" w:sz="4" w:space="0" w:color="000000"/>
                    <w:right w:val="single" w:sz="4" w:space="0" w:color="000000"/>
                  </w:tcBorders>
                </w:tcPr>
                <w:p>
                  <w:pPr>
                    <w:pStyle w:val="Normal"/>
                    <w:ind w:right="447"/>
                    <w:rPr>
                      <w:i/>
                      <w:i/>
                      <w:sz w:val="20"/>
                      <w:szCs w:val="20"/>
                    </w:rPr>
                  </w:pPr>
                  <w:r>
                    <w:rPr>
                      <w:rFonts w:eastAsia="Wingdings 2" w:cs="Wingdings" w:ascii="Wingdings" w:hAnsi="Wingdings"/>
                      <w:i/>
                      <w:sz w:val="20"/>
                      <w:szCs w:val="20"/>
                    </w:rPr>
                    <w:t>{phyto_box}</w:t>
                  </w:r>
                  <w:r>
                    <w:rPr>
                      <w:i/>
                      <w:sz w:val="20"/>
                      <w:szCs w:val="20"/>
                    </w:rPr>
                    <w:t xml:space="preserve"> </w:t>
                  </w:r>
                  <w:r>
                    <w:rPr>
                      <w:i/>
                      <w:sz w:val="20"/>
                      <w:szCs w:val="20"/>
                    </w:rPr>
                    <w:t>Phytosanitary Certificate</w:t>
                  </w:r>
                </w:p>
              </w:tc>
            </w:tr>
            <w:tr>
              <w:trPr/>
              <w:tc>
                <w:tcPr>
                  <w:tcW w:w="3544" w:type="dxa"/>
                  <w:tcBorders>
                    <w:left w:val="single" w:sz="4" w:space="0" w:color="000000"/>
                    <w:right w:val="single" w:sz="4" w:space="0" w:color="000000"/>
                  </w:tcBorders>
                </w:tcPr>
                <w:p>
                  <w:pPr>
                    <w:pStyle w:val="Normal"/>
                    <w:ind w:firstLine="1000"/>
                    <w:rPr>
                      <w:i/>
                      <w:i/>
                      <w:sz w:val="20"/>
                      <w:szCs w:val="20"/>
                    </w:rPr>
                  </w:pPr>
                  <w:r>
                    <w:rPr>
                      <w:i/>
                      <w:sz w:val="20"/>
                      <w:szCs w:val="20"/>
                    </w:rPr>
                    <w:t>Original (s): {awb_orig}</w:t>
                  </w:r>
                </w:p>
              </w:tc>
              <w:tc>
                <w:tcPr>
                  <w:tcW w:w="3402" w:type="dxa"/>
                  <w:tcBorders>
                    <w:left w:val="single" w:sz="4" w:space="0" w:color="000000"/>
                    <w:right w:val="single" w:sz="4" w:space="0" w:color="000000"/>
                  </w:tcBorders>
                </w:tcPr>
                <w:p>
                  <w:pPr>
                    <w:pStyle w:val="Normal"/>
                    <w:ind w:firstLine="1000"/>
                    <w:rPr>
                      <w:i/>
                      <w:i/>
                      <w:sz w:val="20"/>
                      <w:szCs w:val="20"/>
                    </w:rPr>
                  </w:pPr>
                  <w:r>
                    <w:rPr>
                      <w:i/>
                      <w:sz w:val="20"/>
                      <w:szCs w:val="20"/>
                    </w:rPr>
                    <w:t>Original (s): {co_orig}</w:t>
                  </w:r>
                </w:p>
              </w:tc>
              <w:tc>
                <w:tcPr>
                  <w:tcW w:w="3261" w:type="dxa"/>
                  <w:tcBorders>
                    <w:left w:val="single" w:sz="4" w:space="0" w:color="000000"/>
                    <w:right w:val="single" w:sz="4" w:space="0" w:color="000000"/>
                  </w:tcBorders>
                </w:tcPr>
                <w:p>
                  <w:pPr>
                    <w:pStyle w:val="Normal"/>
                    <w:ind w:firstLine="1000" w:right="447"/>
                    <w:rPr>
                      <w:i/>
                      <w:i/>
                      <w:sz w:val="20"/>
                      <w:szCs w:val="20"/>
                    </w:rPr>
                  </w:pPr>
                  <w:r>
                    <w:rPr>
                      <w:i/>
                      <w:sz w:val="20"/>
                      <w:szCs w:val="20"/>
                    </w:rPr>
                    <w:t>Original (s): {phyto_orig}</w:t>
                  </w:r>
                </w:p>
              </w:tc>
            </w:tr>
            <w:tr>
              <w:trPr>
                <w:trHeight w:val="228" w:hRule="atLeast"/>
              </w:trPr>
              <w:tc>
                <w:tcPr>
                  <w:tcW w:w="3544" w:type="dxa"/>
                  <w:tcBorders>
                    <w:left w:val="single" w:sz="4" w:space="0" w:color="000000"/>
                    <w:bottom w:val="dotted" w:sz="4" w:space="0" w:color="000000"/>
                    <w:right w:val="single" w:sz="4" w:space="0" w:color="000000"/>
                  </w:tcBorders>
                </w:tcPr>
                <w:p>
                  <w:pPr>
                    <w:pStyle w:val="Normal"/>
                    <w:ind w:firstLine="1000"/>
                    <w:rPr>
                      <w:i/>
                      <w:i/>
                      <w:sz w:val="20"/>
                      <w:szCs w:val="20"/>
                    </w:rPr>
                  </w:pPr>
                  <w:r>
                    <w:rPr>
                      <w:i/>
                      <w:sz w:val="20"/>
                      <w:szCs w:val="20"/>
                    </w:rPr>
                    <w:t>Copy (ies): {awb_copy}</w:t>
                  </w:r>
                </w:p>
              </w:tc>
              <w:tc>
                <w:tcPr>
                  <w:tcW w:w="3402" w:type="dxa"/>
                  <w:tcBorders>
                    <w:left w:val="single" w:sz="4" w:space="0" w:color="000000"/>
                    <w:bottom w:val="dotted" w:sz="4" w:space="0" w:color="000000"/>
                    <w:right w:val="single" w:sz="4" w:space="0" w:color="000000"/>
                  </w:tcBorders>
                </w:tcPr>
                <w:p>
                  <w:pPr>
                    <w:pStyle w:val="Normal"/>
                    <w:ind w:firstLine="1000"/>
                    <w:rPr>
                      <w:i/>
                      <w:i/>
                      <w:sz w:val="20"/>
                      <w:szCs w:val="20"/>
                    </w:rPr>
                  </w:pPr>
                  <w:r>
                    <w:rPr>
                      <w:i/>
                      <w:sz w:val="20"/>
                      <w:szCs w:val="20"/>
                    </w:rPr>
                    <w:t>Copy (ies): {co_copy}</w:t>
                  </w:r>
                </w:p>
              </w:tc>
              <w:tc>
                <w:tcPr>
                  <w:tcW w:w="3261" w:type="dxa"/>
                  <w:tcBorders>
                    <w:left w:val="single" w:sz="4" w:space="0" w:color="000000"/>
                    <w:bottom w:val="dotted" w:sz="4" w:space="0" w:color="000000"/>
                    <w:right w:val="single" w:sz="4" w:space="0" w:color="000000"/>
                  </w:tcBorders>
                </w:tcPr>
                <w:p>
                  <w:pPr>
                    <w:pStyle w:val="Normal"/>
                    <w:ind w:firstLine="1000" w:right="447"/>
                    <w:rPr>
                      <w:i/>
                      <w:i/>
                      <w:sz w:val="20"/>
                      <w:szCs w:val="20"/>
                    </w:rPr>
                  </w:pPr>
                  <w:r>
                    <w:rPr>
                      <w:i/>
                      <w:sz w:val="20"/>
                      <w:szCs w:val="20"/>
                    </w:rPr>
                    <w:t>Copy (ies): {phyto_copy}</w:t>
                  </w:r>
                </w:p>
                <w:p>
                  <w:pPr>
                    <w:pStyle w:val="Normal"/>
                    <w:jc w:val="right"/>
                    <w:rPr>
                      <w:sz w:val="20"/>
                      <w:szCs w:val="20"/>
                    </w:rPr>
                  </w:pPr>
                  <w:r>
                    <w:rPr>
                      <w:sz w:val="20"/>
                      <w:szCs w:val="20"/>
                    </w:rPr>
                  </w:r>
                </w:p>
              </w:tc>
            </w:tr>
            <w:tr>
              <w:trPr>
                <w:trHeight w:val="45" w:hRule="atLeast"/>
              </w:trPr>
              <w:tc>
                <w:tcPr>
                  <w:tcW w:w="3544" w:type="dxa"/>
                  <w:tcBorders>
                    <w:top w:val="dotted" w:sz="4" w:space="0" w:color="000000"/>
                    <w:left w:val="single" w:sz="4" w:space="0" w:color="000000"/>
                    <w:bottom w:val="single" w:sz="4" w:space="0" w:color="000000"/>
                    <w:right w:val="single" w:sz="4" w:space="0" w:color="000000"/>
                  </w:tcBorders>
                </w:tcPr>
                <w:p>
                  <w:pPr>
                    <w:pStyle w:val="Normal"/>
                    <w:ind w:hanging="7"/>
                    <w:rPr>
                      <w:i/>
                      <w:i/>
                      <w:sz w:val="20"/>
                      <w:szCs w:val="20"/>
                    </w:rPr>
                  </w:pPr>
                  <w:r>
                    <w:rPr>
                      <w:rFonts w:eastAsia="Wingdings 2" w:cs="Wingdings" w:ascii="Wingdings" w:hAnsi="Wingdings"/>
                      <w:i/>
                      <w:sz w:val="20"/>
                      <w:szCs w:val="20"/>
                    </w:rPr>
                    <w:t>{ins_box}</w:t>
                  </w:r>
                  <w:r>
                    <w:rPr>
                      <w:i/>
                      <w:sz w:val="20"/>
                      <w:szCs w:val="20"/>
                    </w:rPr>
                    <w:t xml:space="preserve"> </w:t>
                  </w:r>
                  <w:r>
                    <w:rPr>
                      <w:i/>
                      <w:sz w:val="20"/>
                      <w:szCs w:val="20"/>
                    </w:rPr>
                    <w:t>Insurance Policy/ Certificate</w:t>
                  </w:r>
                </w:p>
                <w:p>
                  <w:pPr>
                    <w:pStyle w:val="Normal"/>
                    <w:ind w:right="447"/>
                    <w:jc w:val="center"/>
                    <w:rPr>
                      <w:i/>
                      <w:i/>
                      <w:sz w:val="20"/>
                      <w:szCs w:val="20"/>
                    </w:rPr>
                  </w:pPr>
                  <w:r>
                    <w:rPr>
                      <w:i/>
                      <w:sz w:val="20"/>
                      <w:szCs w:val="20"/>
                    </w:rPr>
                    <w:t>Original (s): {ins_orig}</w:t>
                  </w:r>
                </w:p>
                <w:p>
                  <w:pPr>
                    <w:pStyle w:val="Normal"/>
                    <w:ind w:right="447"/>
                    <w:jc w:val="center"/>
                    <w:rPr>
                      <w:i/>
                      <w:i/>
                      <w:sz w:val="20"/>
                      <w:szCs w:val="20"/>
                    </w:rPr>
                  </w:pPr>
                  <w:r>
                    <w:rPr>
                      <w:i/>
                      <w:sz w:val="20"/>
                      <w:szCs w:val="20"/>
                    </w:rPr>
                    <w:t>Copy (ies): {ins_copy}</w:t>
                  </w:r>
                </w:p>
                <w:p>
                  <w:pPr>
                    <w:pStyle w:val="Normal"/>
                    <w:ind w:hanging="7"/>
                    <w:rPr>
                      <w:i/>
                      <w:i/>
                      <w:sz w:val="20"/>
                      <w:szCs w:val="20"/>
                    </w:rPr>
                  </w:pPr>
                  <w:r>
                    <w:rPr>
                      <w:i/>
                      <w:sz w:val="20"/>
                      <w:szCs w:val="20"/>
                    </w:rPr>
                  </w:r>
                </w:p>
              </w:tc>
              <w:tc>
                <w:tcPr>
                  <w:tcW w:w="3402" w:type="dxa"/>
                  <w:tcBorders>
                    <w:top w:val="dotted" w:sz="4" w:space="0" w:color="000000"/>
                    <w:left w:val="single" w:sz="4" w:space="0" w:color="000000"/>
                    <w:bottom w:val="single" w:sz="4" w:space="0" w:color="000000"/>
                    <w:right w:val="single" w:sz="4" w:space="0" w:color="000000"/>
                  </w:tcBorders>
                </w:tcPr>
                <w:p>
                  <w:pPr>
                    <w:pStyle w:val="Normal"/>
                    <w:rPr>
                      <w:i/>
                      <w:i/>
                      <w:sz w:val="20"/>
                      <w:szCs w:val="20"/>
                    </w:rPr>
                  </w:pPr>
                  <w:r>
                    <w:rPr>
                      <w:rFonts w:cs="Wingdings" w:ascii="Wingdings" w:hAnsi="Wingdings"/>
                      <w:i/>
                      <w:sz w:val="20"/>
                      <w:szCs w:val="20"/>
                    </w:rPr>
                    <w:t>{qual_box}</w:t>
                  </w:r>
                  <w:r>
                    <w:rPr>
                      <w:i/>
                      <w:sz w:val="20"/>
                      <w:szCs w:val="20"/>
                    </w:rPr>
                    <w:t xml:space="preserve"> </w:t>
                  </w:r>
                  <w:r>
                    <w:rPr>
                      <w:i/>
                      <w:sz w:val="20"/>
                      <w:szCs w:val="20"/>
                    </w:rPr>
                    <w:t>Quality Certificate</w:t>
                  </w:r>
                </w:p>
                <w:p>
                  <w:pPr>
                    <w:pStyle w:val="Normal"/>
                    <w:ind w:right="447"/>
                    <w:jc w:val="center"/>
                    <w:rPr>
                      <w:i/>
                      <w:i/>
                      <w:sz w:val="20"/>
                      <w:szCs w:val="20"/>
                    </w:rPr>
                  </w:pPr>
                  <w:r>
                    <w:rPr>
                      <w:i/>
                      <w:sz w:val="20"/>
                      <w:szCs w:val="20"/>
                    </w:rPr>
                    <w:t>Original (s): {qual_orig}</w:t>
                  </w:r>
                </w:p>
                <w:p>
                  <w:pPr>
                    <w:pStyle w:val="Normal"/>
                    <w:ind w:right="447"/>
                    <w:jc w:val="center"/>
                    <w:rPr>
                      <w:i/>
                      <w:i/>
                      <w:sz w:val="20"/>
                      <w:szCs w:val="20"/>
                    </w:rPr>
                  </w:pPr>
                  <w:r>
                    <w:rPr>
                      <w:i/>
                      <w:sz w:val="20"/>
                      <w:szCs w:val="20"/>
                    </w:rPr>
                    <w:t>Copy (ies): {qual_copy}</w:t>
                  </w:r>
                </w:p>
                <w:p>
                  <w:pPr>
                    <w:pStyle w:val="Normal"/>
                    <w:rPr>
                      <w:i/>
                      <w:i/>
                      <w:sz w:val="20"/>
                      <w:szCs w:val="20"/>
                    </w:rPr>
                  </w:pPr>
                  <w:r>
                    <w:rPr>
                      <w:i/>
                      <w:sz w:val="20"/>
                      <w:szCs w:val="20"/>
                    </w:rPr>
                  </w:r>
                </w:p>
              </w:tc>
              <w:tc>
                <w:tcPr>
                  <w:tcW w:w="3261" w:type="dxa"/>
                  <w:tcBorders>
                    <w:top w:val="dotted" w:sz="4" w:space="0" w:color="000000"/>
                    <w:left w:val="single" w:sz="4" w:space="0" w:color="000000"/>
                    <w:bottom w:val="single" w:sz="4" w:space="0" w:color="000000"/>
                    <w:right w:val="single" w:sz="4" w:space="0" w:color="000000"/>
                  </w:tcBorders>
                </w:tcPr>
                <w:p>
                  <w:pPr>
                    <w:pStyle w:val="Normal"/>
                    <w:ind w:right="447"/>
                    <w:rPr>
                      <w:i/>
                      <w:i/>
                      <w:sz w:val="20"/>
                      <w:szCs w:val="20"/>
                    </w:rPr>
                  </w:pPr>
                  <w:r>
                    <w:rPr>
                      <w:i/>
                      <w:sz w:val="20"/>
                      <w:szCs w:val="20"/>
                    </w:rPr>
                  </w:r>
                </w:p>
                <w:p>
                  <w:pPr>
                    <w:pStyle w:val="Normal"/>
                    <w:ind w:right="447"/>
                    <w:rPr>
                      <w:i/>
                      <w:i/>
                      <w:sz w:val="20"/>
                      <w:szCs w:val="20"/>
                    </w:rPr>
                  </w:pPr>
                  <w:r>
                    <w:rPr>
                      <w:i/>
                      <w:sz w:val="20"/>
                      <w:szCs w:val="20"/>
                    </w:rPr>
                  </w:r>
                </w:p>
              </w:tc>
            </w:tr>
          </w:tbl>
          <w:p>
            <w:pPr>
              <w:pStyle w:val="Normal"/>
              <w:tabs>
                <w:tab w:val="clear" w:pos="720"/>
                <w:tab w:val="left" w:pos="6576" w:leader="none"/>
              </w:tabs>
              <w:rPr>
                <w:i/>
                <w:i/>
                <w:lang w:val="de-DE"/>
              </w:rPr>
            </w:pPr>
            <w:r>
              <w:rPr>
                <w:i/>
                <w:lang w:val="de-DE"/>
              </w:rPr>
              <w:t xml:space="preserve"> </w:t>
            </w:r>
          </w:p>
          <w:p>
            <w:pPr>
              <w:pStyle w:val="Normal"/>
              <w:tabs>
                <w:tab w:val="clear" w:pos="720"/>
                <w:tab w:val="left" w:pos="6576" w:leader="none"/>
              </w:tabs>
              <w:rPr>
                <w:i/>
                <w:i/>
                <w:lang w:val="de-DE"/>
              </w:rPr>
            </w:pPr>
            <w:r>
              <w:rPr>
                <w:i/>
                <w:lang w:val="de-DE"/>
              </w:rPr>
              <w:t xml:space="preserve">Các chứng từ nợ (nếu có): </w:t>
            </w:r>
          </w:p>
          <w:p>
            <w:pPr>
              <w:pStyle w:val="Normal"/>
              <w:tabs>
                <w:tab w:val="clear" w:pos="720"/>
                <w:tab w:val="left" w:pos="6576" w:leader="none"/>
              </w:tabs>
              <w:rPr>
                <w:i/>
                <w:i/>
                <w:lang w:val="de-DE"/>
              </w:rPr>
            </w:pPr>
            <w:r>
              <w:rPr>
                <w:i/>
                <w:lang w:val="de-DE"/>
              </w:rPr>
              <w:t>Thời gian nợ chứng từ</w:t>
            </w:r>
            <w:r>
              <w:rPr/>
              <w:t xml:space="preserve"> </w:t>
            </w:r>
            <w:r>
              <w:rPr>
                <w:i/>
                <w:lang w:val="de-DE"/>
              </w:rPr>
              <w:t>và cam kết xuất trình đầy đủ bộ chứng từ trong vòng 15 ngày làm việc kể từ ngày Ngân hàng thực hiện thương lượng thanh toán ({negotiate_date})</w:t>
            </w:r>
          </w:p>
          <w:p>
            <w:pPr>
              <w:pStyle w:val="Normal"/>
              <w:tabs>
                <w:tab w:val="clear" w:pos="720"/>
                <w:tab w:val="left" w:pos="6576" w:leader="none"/>
              </w:tabs>
              <w:rPr>
                <w:i/>
                <w:i/>
                <w:lang w:val="de-DE"/>
              </w:rPr>
            </w:pPr>
            <w:r>
              <w:rPr>
                <w:i/>
                <w:lang w:val="de-DE"/>
              </w:rPr>
              <w:t>4. Giá trị:</w:t>
            </w:r>
            <w:r>
              <w:rPr>
                <w:b/>
                <w:bCs/>
                <w:color w:val="FF0000"/>
                <w:lang w:val="de-DE"/>
              </w:rPr>
              <w:t xml:space="preserve"> {amount}</w:t>
            </w:r>
            <w:r>
              <w:rPr>
                <w:color w:val="FF0000"/>
                <w:lang w:val="de-DE"/>
              </w:rPr>
              <w:t xml:space="preserve"> </w:t>
            </w:r>
            <w:r>
              <w:rPr>
                <w:b/>
                <w:color w:val="FF0000"/>
                <w:lang w:val="de-DE"/>
              </w:rPr>
              <w:t>USD</w:t>
            </w:r>
          </w:p>
          <w:p>
            <w:pPr>
              <w:pStyle w:val="Normal"/>
              <w:tabs>
                <w:tab w:val="clear" w:pos="720"/>
                <w:tab w:val="left" w:pos="6576" w:leader="none"/>
              </w:tabs>
              <w:spacing w:lineRule="exact" w:line="280"/>
              <w:rPr>
                <w:i/>
                <w:i/>
                <w:lang w:val="de-DE"/>
              </w:rPr>
            </w:pPr>
            <w:r>
              <w:rPr>
                <w:i/>
                <w:lang w:val="de-DE"/>
              </w:rPr>
              <w:t xml:space="preserve">4.1: Giá trị Hối phiếu kèm Bộ Chứng Từ: </w:t>
            </w:r>
            <w:r>
              <w:rPr>
                <w:b/>
                <w:bCs/>
                <w:color w:val="FF0000"/>
                <w:lang w:val="de-DE"/>
              </w:rPr>
              <w:t>{amount}</w:t>
            </w:r>
            <w:r>
              <w:rPr>
                <w:color w:val="FF0000"/>
                <w:lang w:val="de-DE"/>
              </w:rPr>
              <w:t xml:space="preserve"> </w:t>
            </w:r>
            <w:r>
              <w:rPr>
                <w:b/>
                <w:color w:val="FF0000"/>
                <w:lang w:val="de-DE"/>
              </w:rPr>
              <w:t>USD</w:t>
            </w:r>
            <w:r>
              <w:rPr>
                <w:b/>
                <w:bCs/>
                <w:color w:val="FF0000"/>
                <w:lang w:val="de-DE"/>
              </w:rPr>
              <w:t xml:space="preserve"> </w:t>
            </w:r>
          </w:p>
          <w:p>
            <w:pPr>
              <w:pStyle w:val="Normal"/>
              <w:tabs>
                <w:tab w:val="clear" w:pos="720"/>
                <w:tab w:val="left" w:pos="2950" w:leader="dot"/>
                <w:tab w:val="right" w:pos="7630" w:leader="dot"/>
              </w:tabs>
              <w:rPr>
                <w:i/>
                <w:i/>
                <w:lang w:val="de-DE"/>
              </w:rPr>
            </w:pPr>
            <w:r>
              <w:rPr>
                <w:i/>
                <w:lang w:val="de-DE"/>
              </w:rPr>
              <w:t xml:space="preserve">4.2: Giá trị đòi tiền theo Hối phiếu kèm Bộ Chứng Từ: </w:t>
            </w:r>
            <w:r>
              <w:rPr>
                <w:b/>
                <w:bCs/>
                <w:color w:val="FF0000"/>
                <w:lang w:val="de-DE"/>
              </w:rPr>
              <w:t>{amount}</w:t>
            </w:r>
            <w:r>
              <w:rPr>
                <w:color w:val="FF0000"/>
                <w:lang w:val="de-DE"/>
              </w:rPr>
              <w:t xml:space="preserve"> </w:t>
            </w:r>
            <w:r>
              <w:rPr>
                <w:b/>
                <w:color w:val="FF0000"/>
                <w:lang w:val="de-DE"/>
              </w:rPr>
              <w:t>USD</w:t>
            </w:r>
            <w:r>
              <w:rPr>
                <w:b/>
                <w:bCs/>
                <w:color w:val="FF0000"/>
                <w:lang w:val="de-DE"/>
              </w:rPr>
              <w:t xml:space="preserve"> </w:t>
            </w:r>
          </w:p>
          <w:p>
            <w:pPr>
              <w:pStyle w:val="Normal"/>
              <w:tabs>
                <w:tab w:val="clear" w:pos="720"/>
                <w:tab w:val="left" w:pos="2950" w:leader="dot"/>
                <w:tab w:val="right" w:pos="7630" w:leader="dot"/>
              </w:tabs>
              <w:rPr>
                <w:i/>
                <w:i/>
                <w:lang w:val="de-DE"/>
              </w:rPr>
            </w:pPr>
            <w:r>
              <w:rPr>
                <w:i/>
                <w:lang w:val="de-DE"/>
              </w:rPr>
              <w:t xml:space="preserve">5. Các thông tin bổ sung khác: </w:t>
            </w:r>
          </w:p>
          <w:p>
            <w:pPr>
              <w:pStyle w:val="Normal"/>
              <w:tabs>
                <w:tab w:val="clear" w:pos="720"/>
                <w:tab w:val="left" w:pos="2950" w:leader="dot"/>
                <w:tab w:val="right" w:pos="7630" w:leader="dot"/>
              </w:tabs>
              <w:rPr>
                <w:i/>
                <w:i/>
                <w:lang w:val="de-DE"/>
              </w:rPr>
            </w:pPr>
            <w:r>
              <w:rPr>
                <w:i/>
                <w:lang w:val="de-DE"/>
              </w:rPr>
              <w:t xml:space="preserve"> </w:t>
            </w:r>
            <w:r>
              <w:rPr>
                <w:i/>
                <w:lang w:val="de-DE"/>
              </w:rPr>
              <w:t xml:space="preserve">Invoice số: </w:t>
            </w:r>
            <w:r>
              <w:rPr>
                <w:b/>
                <w:bCs/>
                <w:color w:val="FF0000"/>
                <w:lang w:val="it-IT"/>
              </w:rPr>
              <w:t>{invoice_no} ngày {invoice_date}</w:t>
            </w:r>
            <w:r>
              <w:rPr>
                <w:color w:themeColor="text1" w:val="000000"/>
                <w:lang w:val="vi-VN"/>
              </w:rPr>
              <w:t xml:space="preserve">                         </w:t>
            </w:r>
            <w:r>
              <w:rPr>
                <w:i/>
                <w:lang w:val="de-DE"/>
              </w:rPr>
              <w:t xml:space="preserve">                                            </w:t>
            </w:r>
          </w:p>
          <w:p>
            <w:pPr>
              <w:pStyle w:val="Normal"/>
              <w:tabs>
                <w:tab w:val="clear" w:pos="720"/>
                <w:tab w:val="left" w:pos="2950" w:leader="dot"/>
                <w:tab w:val="right" w:pos="7630" w:leader="dot"/>
              </w:tabs>
              <w:rPr>
                <w:i/>
                <w:i/>
                <w:lang w:val="de-DE"/>
              </w:rPr>
            </w:pPr>
            <w:r>
              <w:rPr>
                <w:i/>
                <w:lang w:val="de-DE"/>
              </w:rPr>
              <w:t xml:space="preserve"> </w:t>
            </w:r>
            <w:r>
              <w:rPr>
                <w:i/>
                <w:lang w:val="de-DE"/>
              </w:rPr>
              <w:t>Hợp đồng số:</w:t>
            </w:r>
            <w:r>
              <w:rPr>
                <w:b/>
                <w:bCs/>
                <w:color w:val="FF0000"/>
                <w:lang w:val="vi-VN"/>
              </w:rPr>
              <w:t xml:space="preserve"> {contract_no} ngày {contract_date}</w:t>
            </w:r>
            <w:r>
              <w:rPr>
                <w:b/>
                <w:bCs/>
                <w:color w:val="FF0000"/>
                <w:lang w:val="de-DE"/>
              </w:rPr>
            </w:r>
            <w:r>
              <w:rPr>
                <w:b/>
                <w:bCs/>
                <w:color w:val="FF0000"/>
                <w:lang w:val="vi-VN"/>
              </w:rPr>
            </w:r>
            <w:r>
              <w:rPr>
                <w:b/>
                <w:bCs/>
                <w:color w:val="FF0000"/>
                <w:lang w:val="de-DE"/>
              </w:rPr>
            </w:r>
            <w:r>
              <w:rPr>
                <w:b/>
                <w:bCs/>
                <w:color w:val="FF0000"/>
                <w:lang w:val="vi-VN"/>
              </w:rPr>
            </w:r>
            <w:r>
              <w:rPr>
                <w:b/>
                <w:bCs/>
                <w:color w:val="FF0000"/>
                <w:lang w:val="de-DE"/>
              </w:rPr>
            </w:r>
            <w:r>
              <w:rPr>
                <w:b/>
                <w:bCs/>
                <w:color w:val="FF0000"/>
                <w:lang w:val="vi-VN"/>
              </w:rPr>
            </w:r>
          </w:p>
          <w:p>
            <w:pPr>
              <w:pStyle w:val="Normal"/>
              <w:tabs>
                <w:tab w:val="clear" w:pos="720"/>
                <w:tab w:val="left" w:pos="2950" w:leader="dot"/>
                <w:tab w:val="right" w:pos="7630" w:leader="dot"/>
              </w:tabs>
              <w:rPr>
                <w:i/>
                <w:i/>
                <w:lang w:val="de-DE"/>
              </w:rPr>
            </w:pPr>
            <w:r>
              <w:rPr>
                <w:i/>
                <w:lang w:val="de-DE"/>
              </w:rPr>
              <w:t xml:space="preserve"> </w:t>
            </w:r>
            <w:r>
              <w:rPr>
                <w:i/>
                <w:lang w:val="de-DE"/>
              </w:rPr>
              <w:t>Giá trị còn lại của hợp đồng</w:t>
            </w:r>
            <w:r>
              <w:rPr>
                <w:i/>
                <w:lang w:val="de-DE"/>
              </w:rPr>
              <w:t xml:space="preserve">: </w:t>
            </w:r>
          </w:p>
        </w:tc>
        <w:tc>
          <w:tcPr>
            <w:tcW w:w="29" w:type="dxa"/>
            <w:tcBorders/>
          </w:tcPr>
          <w:p>
            <w:pPr>
              <w:pStyle w:val="Normal"/>
              <w:rPr/>
            </w:pPr>
            <w:r>
              <w:rPr/>
            </w:r>
          </w:p>
        </w:tc>
      </w:tr>
      <w:tr>
        <w:trPr/>
        <w:tc>
          <w:tcPr>
            <w:tcW w:w="3403" w:type="dxa"/>
            <w:gridSpan w:val="2"/>
            <w:tcBorders>
              <w:top w:val="single" w:sz="4" w:space="0" w:color="000000"/>
              <w:left w:val="single" w:sz="4" w:space="0" w:color="000000"/>
              <w:bottom w:val="single" w:sz="4" w:space="0" w:color="000000"/>
              <w:right w:val="single" w:sz="4" w:space="0" w:color="000000"/>
            </w:tcBorders>
          </w:tcPr>
          <w:p>
            <w:pPr>
              <w:pStyle w:val="Normal"/>
              <w:ind w:right="-108"/>
              <w:rPr>
                <w:i/>
                <w:i/>
                <w:lang w:val="de-DE"/>
              </w:rPr>
            </w:pPr>
            <w:r>
              <w:rPr>
                <w:i/>
                <w:lang w:val="de-DE"/>
              </w:rPr>
              <w:t>Người/Ngân hàng nhận chứng từ</w:t>
            </w:r>
          </w:p>
          <w:p>
            <w:pPr>
              <w:pStyle w:val="Normal"/>
              <w:ind w:right="-108"/>
              <w:rPr>
                <w:i/>
                <w:i/>
                <w:lang w:val="de-DE"/>
              </w:rPr>
            </w:pPr>
            <w:r>
              <w:rPr>
                <w:i/>
                <w:lang w:val="de-DE"/>
              </w:rPr>
              <w:t>(Tên và địa chỉ)</w:t>
            </w:r>
          </w:p>
        </w:tc>
        <w:tc>
          <w:tcPr>
            <w:tcW w:w="6804" w:type="dxa"/>
            <w:gridSpan w:val="7"/>
            <w:tcBorders>
              <w:top w:val="single" w:sz="4" w:space="0" w:color="000000"/>
              <w:left w:val="single" w:sz="4" w:space="0" w:color="000000"/>
              <w:bottom w:val="single" w:sz="4" w:space="0" w:color="000000"/>
              <w:right w:val="single" w:sz="4" w:space="0" w:color="000000"/>
            </w:tcBorders>
            <w:vAlign w:val="bottom"/>
          </w:tcPr>
          <w:p>
            <w:pPr>
              <w:pStyle w:val="Normal"/>
              <w:keepLines/>
              <w:widowControl w:val="false"/>
              <w:tabs>
                <w:tab w:val="clear" w:pos="720"/>
                <w:tab w:val="left" w:pos="6731" w:leader="none"/>
              </w:tabs>
              <w:rPr>
                <w:b/>
                <w:bCs/>
                <w:color w:val="FF0000"/>
              </w:rPr>
            </w:pPr>
            <w:r>
              <w:rPr>
                <w:b/>
                <w:bCs/>
                <w:color w:val="FF0000"/>
              </w:rPr>
              <w:t>{recv_bank_name}</w:t>
            </w:r>
          </w:p>
          <w:p>
            <w:pPr>
              <w:pStyle w:val="Normal"/>
              <w:tabs>
                <w:tab w:val="clear" w:pos="720"/>
                <w:tab w:val="left" w:pos="8400" w:leader="none"/>
              </w:tabs>
              <w:rPr>
                <w:b/>
                <w:bCs/>
                <w:color w:val="FF0000"/>
              </w:rPr>
            </w:pPr>
            <w:r>
              <w:rPr>
                <w:b/>
                <w:bCs/>
                <w:color w:val="FF0000"/>
              </w:rPr>
              <w:t>{recv_bank_addr}</w:t>
            </w:r>
          </w:p>
          <w:p>
            <w:pPr>
              <w:pStyle w:val="Normal"/>
              <w:tabs>
                <w:tab w:val="clear" w:pos="720"/>
                <w:tab w:val="left" w:pos="8400" w:leader="none"/>
              </w:tabs>
              <w:rPr>
                <w:i/>
                <w:i/>
                <w:lang w:val="de-DE"/>
              </w:rPr>
            </w:pPr>
            <w:r>
              <w:rPr>
                <w:b/>
                <w:bCs/>
                <w:color w:val="FF0000"/>
              </w:rPr>
              <w:t>SWIFT: {recv_swift}</w:t>
            </w:r>
          </w:p>
        </w:tc>
        <w:tc>
          <w:tcPr>
            <w:tcW w:w="29" w:type="dxa"/>
            <w:tcBorders/>
          </w:tcPr>
          <w:p>
            <w:pPr>
              <w:pStyle w:val="Normal"/>
              <w:rPr/>
            </w:pPr>
            <w:r>
              <w:rPr/>
            </w:r>
          </w:p>
        </w:tc>
      </w:tr>
      <w:tr>
        <w:trPr/>
        <w:tc>
          <w:tcPr>
            <w:tcW w:w="3403" w:type="dxa"/>
            <w:gridSpan w:val="2"/>
            <w:tcBorders>
              <w:top w:val="single" w:sz="4" w:space="0" w:color="000000"/>
              <w:left w:val="single" w:sz="4" w:space="0" w:color="000000"/>
              <w:bottom w:val="single" w:sz="4" w:space="0" w:color="000000"/>
              <w:right w:val="single" w:sz="4" w:space="0" w:color="000000"/>
            </w:tcBorders>
          </w:tcPr>
          <w:p>
            <w:pPr>
              <w:pStyle w:val="Normal"/>
              <w:ind w:right="-108"/>
              <w:rPr>
                <w:i/>
                <w:i/>
                <w:lang w:val="de-DE"/>
              </w:rPr>
            </w:pPr>
            <w:r>
              <w:rPr>
                <w:i/>
                <w:lang w:val="de-DE"/>
              </w:rPr>
              <w:t>Người nhập khẩu/Người mua</w:t>
            </w:r>
          </w:p>
          <w:p>
            <w:pPr>
              <w:pStyle w:val="Normal"/>
              <w:ind w:right="-108"/>
              <w:rPr>
                <w:i/>
                <w:i/>
                <w:lang w:val="de-DE"/>
              </w:rPr>
            </w:pPr>
            <w:r>
              <w:rPr>
                <w:i/>
                <w:lang w:val="de-DE"/>
              </w:rPr>
              <w:t>(Tên/địa chỉ)</w:t>
            </w:r>
          </w:p>
        </w:tc>
        <w:tc>
          <w:tcPr>
            <w:tcW w:w="6804" w:type="dxa"/>
            <w:gridSpan w:val="7"/>
            <w:tcBorders>
              <w:top w:val="single" w:sz="4" w:space="0" w:color="000000"/>
              <w:left w:val="single" w:sz="4" w:space="0" w:color="000000"/>
              <w:bottom w:val="single" w:sz="4" w:space="0" w:color="000000"/>
              <w:right w:val="single" w:sz="4" w:space="0" w:color="000000"/>
            </w:tcBorders>
            <w:vAlign w:val="bottom"/>
          </w:tcPr>
          <w:p>
            <w:pPr>
              <w:pStyle w:val="Normal"/>
              <w:rPr>
                <w:b/>
                <w:bCs/>
                <w:color w:val="FF0000"/>
              </w:rPr>
            </w:pPr>
            <w:r>
              <w:rPr>
                <w:b/>
                <w:bCs/>
                <w:color w:val="FF0000"/>
              </w:rPr>
              <w:t>{buyer_name}</w:t>
            </w:r>
          </w:p>
          <w:p>
            <w:pPr>
              <w:pStyle w:val="Normal"/>
              <w:rPr>
                <w:b/>
                <w:bCs/>
                <w:i/>
                <w:i/>
              </w:rPr>
            </w:pPr>
            <w:r>
              <w:rPr>
                <w:b/>
                <w:bCs/>
                <w:i/>
                <w:color w:val="FF0000"/>
              </w:rPr>
              <w:t>{buyer_addr}</w:t>
            </w:r>
          </w:p>
        </w:tc>
        <w:tc>
          <w:tcPr>
            <w:tcW w:w="29" w:type="dxa"/>
            <w:tcBorders/>
          </w:tcPr>
          <w:p>
            <w:pPr>
              <w:pStyle w:val="Normal"/>
              <w:rPr/>
            </w:pPr>
            <w:r>
              <w:rPr/>
            </w:r>
          </w:p>
        </w:tc>
      </w:tr>
      <w:tr>
        <w:trPr/>
        <w:tc>
          <w:tcPr>
            <w:tcW w:w="3403" w:type="dxa"/>
            <w:gridSpan w:val="2"/>
            <w:vMerge w:val="restart"/>
            <w:tcBorders>
              <w:top w:val="single" w:sz="4" w:space="0" w:color="000000"/>
              <w:left w:val="single" w:sz="4" w:space="0" w:color="000000"/>
              <w:bottom w:val="single" w:sz="4" w:space="0" w:color="000000"/>
              <w:right w:val="single" w:sz="4" w:space="0" w:color="000000"/>
            </w:tcBorders>
          </w:tcPr>
          <w:p>
            <w:pPr>
              <w:pStyle w:val="Normal"/>
              <w:rPr>
                <w:i/>
                <w:i/>
                <w:lang w:val="de-DE"/>
              </w:rPr>
            </w:pPr>
            <w:r>
              <w:rPr>
                <w:i/>
                <w:lang w:val="de-DE"/>
              </w:rPr>
              <w:t>Người xuất khẩu/người bán</w:t>
            </w:r>
          </w:p>
          <w:p>
            <w:pPr>
              <w:pStyle w:val="Normal"/>
              <w:rPr>
                <w:i/>
                <w:i/>
                <w:lang w:val="de-DE"/>
              </w:rPr>
            </w:pPr>
            <w:r>
              <w:rPr>
                <w:i/>
                <w:lang w:val="de-DE"/>
              </w:rPr>
              <w:t>(Tên và địa chỉ)</w:t>
            </w:r>
          </w:p>
          <w:p>
            <w:pPr>
              <w:pStyle w:val="Normal"/>
              <w:tabs>
                <w:tab w:val="clear" w:pos="720"/>
                <w:tab w:val="left" w:pos="2950" w:leader="dot"/>
                <w:tab w:val="right" w:pos="7630" w:leader="dot"/>
              </w:tabs>
              <w:rPr>
                <w:i/>
                <w:i/>
                <w:lang w:val="de-DE"/>
              </w:rPr>
            </w:pPr>
            <w:r>
              <w:rPr>
                <w:i/>
                <w:lang w:val="de-DE"/>
              </w:rPr>
            </w:r>
          </w:p>
        </w:tc>
        <w:tc>
          <w:tcPr>
            <w:tcW w:w="6804" w:type="dxa"/>
            <w:gridSpan w:val="7"/>
            <w:tcBorders>
              <w:top w:val="single" w:sz="4" w:space="0" w:color="000000"/>
              <w:left w:val="single" w:sz="4" w:space="0" w:color="000000"/>
              <w:bottom w:val="dotted" w:sz="4" w:space="0" w:color="000000"/>
              <w:right w:val="single" w:sz="4" w:space="0" w:color="000000"/>
            </w:tcBorders>
            <w:vAlign w:val="bottom"/>
          </w:tcPr>
          <w:p>
            <w:pPr>
              <w:pStyle w:val="Normal"/>
              <w:tabs>
                <w:tab w:val="clear" w:pos="720"/>
                <w:tab w:val="left" w:pos="8400" w:leader="none"/>
              </w:tabs>
              <w:rPr>
                <w:i/>
                <w:i/>
                <w:lang w:val="de-DE"/>
              </w:rPr>
            </w:pPr>
            <w:r>
              <w:rPr>
                <w:b/>
                <w:bCs/>
              </w:rPr>
              <w:t>HUY ANH RUBBER COMPANY LIMITED</w:t>
            </w:r>
          </w:p>
        </w:tc>
        <w:tc>
          <w:tcPr>
            <w:tcW w:w="29" w:type="dxa"/>
            <w:tcBorders/>
          </w:tcPr>
          <w:p>
            <w:pPr>
              <w:pStyle w:val="Normal"/>
              <w:rPr/>
            </w:pPr>
            <w:r>
              <w:rPr/>
            </w:r>
          </w:p>
        </w:tc>
      </w:tr>
      <w:tr>
        <w:trPr/>
        <w:tc>
          <w:tcPr>
            <w:tcW w:w="3403" w:type="dxa"/>
            <w:gridSpan w:val="2"/>
            <w:vMerge w:val="continue"/>
            <w:tcBorders>
              <w:top w:val="single" w:sz="4" w:space="0" w:color="000000"/>
              <w:left w:val="single" w:sz="4" w:space="0" w:color="000000"/>
              <w:bottom w:val="single" w:sz="4" w:space="0" w:color="000000"/>
              <w:right w:val="single" w:sz="4" w:space="0" w:color="000000"/>
            </w:tcBorders>
          </w:tcPr>
          <w:p>
            <w:pPr>
              <w:pStyle w:val="Normal"/>
              <w:jc w:val="center"/>
              <w:rPr>
                <w:i/>
                <w:i/>
                <w:lang w:val="de-DE"/>
              </w:rPr>
            </w:pPr>
            <w:r>
              <w:rPr>
                <w:i/>
                <w:lang w:val="de-DE"/>
              </w:rPr>
            </w:r>
          </w:p>
        </w:tc>
        <w:tc>
          <w:tcPr>
            <w:tcW w:w="6804" w:type="dxa"/>
            <w:gridSpan w:val="7"/>
            <w:tcBorders>
              <w:top w:val="dotted" w:sz="4" w:space="0" w:color="000000"/>
              <w:left w:val="single" w:sz="4" w:space="0" w:color="000000"/>
              <w:bottom w:val="single" w:sz="4" w:space="0" w:color="000000"/>
              <w:right w:val="single" w:sz="4" w:space="0" w:color="000000"/>
            </w:tcBorders>
            <w:vAlign w:val="bottom"/>
          </w:tcPr>
          <w:p>
            <w:pPr>
              <w:pStyle w:val="Normal"/>
              <w:tabs>
                <w:tab w:val="clear" w:pos="720"/>
                <w:tab w:val="left" w:pos="8400" w:leader="none"/>
              </w:tabs>
              <w:rPr>
                <w:i/>
                <w:i/>
                <w:lang w:val="de-DE"/>
              </w:rPr>
            </w:pPr>
            <w:r>
              <w:rPr>
                <w:b/>
                <w:bCs/>
              </w:rPr>
              <w:t>ADDRESS: KHE MA, PHONG DIEN WARD, HUE CITY, VIETNAM</w:t>
            </w:r>
          </w:p>
        </w:tc>
        <w:tc>
          <w:tcPr>
            <w:tcW w:w="29" w:type="dxa"/>
            <w:tcBorders/>
          </w:tcPr>
          <w:p>
            <w:pPr>
              <w:pStyle w:val="Normal"/>
              <w:rPr/>
            </w:pPr>
            <w:r>
              <w:rPr/>
            </w:r>
          </w:p>
        </w:tc>
      </w:tr>
      <w:tr>
        <w:trPr>
          <w:trHeight w:val="260" w:hRule="atLeast"/>
        </w:trPr>
        <w:tc>
          <w:tcPr>
            <w:tcW w:w="3403" w:type="dxa"/>
            <w:gridSpan w:val="2"/>
            <w:vMerge w:val="continue"/>
            <w:tcBorders>
              <w:top w:val="single" w:sz="4" w:space="0" w:color="000000"/>
              <w:left w:val="single" w:sz="4" w:space="0" w:color="000000"/>
              <w:bottom w:val="single" w:sz="4" w:space="0" w:color="000000"/>
              <w:right w:val="single" w:sz="4" w:space="0" w:color="000000"/>
            </w:tcBorders>
          </w:tcPr>
          <w:p>
            <w:pPr>
              <w:pStyle w:val="Normal"/>
              <w:jc w:val="center"/>
              <w:rPr>
                <w:i/>
                <w:i/>
                <w:lang w:val="de-DE"/>
              </w:rPr>
            </w:pPr>
            <w:r>
              <w:rPr>
                <w:i/>
                <w:lang w:val="de-DE"/>
              </w:rPr>
            </w:r>
          </w:p>
        </w:tc>
        <w:tc>
          <w:tcPr>
            <w:tcW w:w="2707" w:type="dxa"/>
            <w:gridSpan w:val="4"/>
            <w:tcBorders>
              <w:top w:val="single" w:sz="4" w:space="0" w:color="000000"/>
              <w:left w:val="single" w:sz="4" w:space="0" w:color="000000"/>
              <w:bottom w:val="dotted" w:sz="4" w:space="0" w:color="000000"/>
              <w:right w:val="single" w:sz="4" w:space="0" w:color="000000"/>
            </w:tcBorders>
            <w:vAlign w:val="bottom"/>
          </w:tcPr>
          <w:p>
            <w:pPr>
              <w:pStyle w:val="Normal"/>
              <w:rPr>
                <w:i/>
                <w:i/>
                <w:lang w:val="it-IT"/>
              </w:rPr>
            </w:pPr>
            <w:r>
              <w:rPr>
                <w:b/>
                <w:bCs/>
              </w:rPr>
              <w:t>Số CIF: 3015093482</w:t>
            </w:r>
          </w:p>
        </w:tc>
        <w:tc>
          <w:tcPr>
            <w:tcW w:w="4097" w:type="dxa"/>
            <w:gridSpan w:val="3"/>
            <w:tcBorders>
              <w:top w:val="single" w:sz="4" w:space="0" w:color="000000"/>
              <w:left w:val="single" w:sz="4" w:space="0" w:color="000000"/>
              <w:bottom w:val="dotted" w:sz="4" w:space="0" w:color="000000"/>
              <w:right w:val="single" w:sz="4" w:space="0" w:color="000000"/>
            </w:tcBorders>
            <w:vAlign w:val="bottom"/>
          </w:tcPr>
          <w:p>
            <w:pPr>
              <w:pStyle w:val="Normal"/>
              <w:rPr>
                <w:i/>
                <w:i/>
                <w:lang w:val="it-IT"/>
              </w:rPr>
            </w:pPr>
            <w:r>
              <w:rPr>
                <w:b/>
                <w:bCs/>
              </w:rPr>
              <w:t>Tại chi nhánh: Huế</w:t>
            </w:r>
          </w:p>
        </w:tc>
        <w:tc>
          <w:tcPr>
            <w:tcW w:w="29" w:type="dxa"/>
            <w:tcBorders/>
          </w:tcPr>
          <w:p>
            <w:pPr>
              <w:pStyle w:val="Normal"/>
              <w:rPr/>
            </w:pPr>
            <w:r>
              <w:rPr/>
            </w:r>
          </w:p>
        </w:tc>
      </w:tr>
      <w:tr>
        <w:trPr/>
        <w:tc>
          <w:tcPr>
            <w:tcW w:w="3403" w:type="dxa"/>
            <w:gridSpan w:val="2"/>
            <w:vMerge w:val="continue"/>
            <w:tcBorders>
              <w:top w:val="single" w:sz="4" w:space="0" w:color="000000"/>
              <w:left w:val="single" w:sz="4" w:space="0" w:color="000000"/>
              <w:bottom w:val="single" w:sz="4" w:space="0" w:color="000000"/>
              <w:right w:val="single" w:sz="4" w:space="0" w:color="000000"/>
            </w:tcBorders>
          </w:tcPr>
          <w:p>
            <w:pPr>
              <w:pStyle w:val="Normal"/>
              <w:jc w:val="center"/>
              <w:rPr>
                <w:i/>
                <w:i/>
                <w:lang w:val="de-DE"/>
              </w:rPr>
            </w:pPr>
            <w:r>
              <w:rPr>
                <w:i/>
                <w:lang w:val="de-DE"/>
              </w:rPr>
            </w:r>
          </w:p>
        </w:tc>
        <w:tc>
          <w:tcPr>
            <w:tcW w:w="2707" w:type="dxa"/>
            <w:gridSpan w:val="4"/>
            <w:tcBorders>
              <w:top w:val="dotted" w:sz="4" w:space="0" w:color="000000"/>
              <w:left w:val="single" w:sz="4" w:space="0" w:color="000000"/>
              <w:bottom w:val="single" w:sz="4" w:space="0" w:color="000000"/>
              <w:right w:val="single" w:sz="4" w:space="0" w:color="000000"/>
            </w:tcBorders>
            <w:vAlign w:val="bottom"/>
          </w:tcPr>
          <w:p>
            <w:pPr>
              <w:pStyle w:val="Normal"/>
              <w:rPr>
                <w:b/>
                <w:bCs/>
                <w:lang w:val="de-DE"/>
              </w:rPr>
            </w:pPr>
            <w:r>
              <w:rPr>
                <w:b/>
                <w:bCs/>
                <w:lang w:val="de-DE"/>
              </w:rPr>
              <w:t xml:space="preserve">Tên người liên hệ: </w:t>
            </w:r>
          </w:p>
          <w:p>
            <w:pPr>
              <w:pStyle w:val="Normal"/>
              <w:rPr>
                <w:i/>
                <w:i/>
                <w:lang w:val="de-DE"/>
              </w:rPr>
            </w:pPr>
            <w:r>
              <w:rPr>
                <w:b/>
                <w:bCs/>
                <w:color w:val="FF0000"/>
                <w:lang w:val="de-DE"/>
              </w:rPr>
              <w:t>Trần Thị Minh Anh</w:t>
            </w:r>
          </w:p>
        </w:tc>
        <w:tc>
          <w:tcPr>
            <w:tcW w:w="4097" w:type="dxa"/>
            <w:gridSpan w:val="3"/>
            <w:tcBorders>
              <w:top w:val="dotted" w:sz="4" w:space="0" w:color="000000"/>
              <w:left w:val="single" w:sz="4" w:space="0" w:color="000000"/>
              <w:bottom w:val="single" w:sz="4" w:space="0" w:color="000000"/>
              <w:right w:val="single" w:sz="4" w:space="0" w:color="000000"/>
            </w:tcBorders>
            <w:vAlign w:val="bottom"/>
          </w:tcPr>
          <w:p>
            <w:pPr>
              <w:pStyle w:val="Normal"/>
              <w:rPr>
                <w:i/>
                <w:i/>
                <w:lang w:val="it-IT"/>
              </w:rPr>
            </w:pPr>
            <w:r>
              <w:rPr>
                <w:b/>
                <w:bCs/>
                <w:color w:val="FF0000"/>
              </w:rPr>
              <w:t>Số điện thoại: 0976648480</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tcPr>
          <w:p>
            <w:pPr>
              <w:pStyle w:val="Normal"/>
              <w:spacing w:lineRule="exact" w:line="250"/>
              <w:ind w:right="-102"/>
              <w:jc w:val="both"/>
              <w:rPr>
                <w:i/>
                <w:i/>
              </w:rPr>
            </w:pPr>
            <w:r>
              <w:rPr>
                <w:b/>
                <w:i/>
              </w:rPr>
              <w:t>Tôi/Chúng tôi đề nghị Ngân Hàng</w:t>
            </w:r>
            <w:r>
              <w:rPr>
                <w:i/>
              </w:rPr>
              <w:t xml:space="preserve"> </w:t>
            </w:r>
            <w:r>
              <w:rPr>
                <w:b/>
                <w:i/>
              </w:rPr>
              <w:t>thực hiện với mọi rủi ro và chi phí thuộc về chúng tôi</w:t>
            </w:r>
            <w:r>
              <w:rPr>
                <w:i/>
              </w:rPr>
              <w:t>:</w:t>
            </w:r>
          </w:p>
          <w:p>
            <w:pPr>
              <w:pStyle w:val="Normal"/>
              <w:spacing w:lineRule="exact" w:line="300"/>
              <w:ind w:right="-108"/>
              <w:rPr>
                <w:i/>
                <w:i/>
                <w:lang w:val="de-DE"/>
              </w:rPr>
            </w:pPr>
            <w:r>
              <w:rPr>
                <w:i/>
                <w:lang w:val="de-DE"/>
              </w:rPr>
              <w:t>1. Gửi Hối phiếu kèm Bộ Chứng Từ đi đòi tiền:</w:t>
            </w:r>
          </w:p>
          <w:p>
            <w:pPr>
              <w:pStyle w:val="Normal"/>
              <w:spacing w:lineRule="exact" w:line="300"/>
              <w:ind w:right="-108"/>
              <w:rPr>
                <w:i/>
                <w:i/>
                <w:lang w:val="de-DE"/>
              </w:rPr>
            </w:pPr>
            <w:r>
              <w:rPr>
                <w:i/>
                <w:lang w:val="de-DE"/>
              </w:rPr>
              <w:t xml:space="preserve"> </w:t>
            </w:r>
            <w:r>
              <w:rPr>
                <w:i/>
                <w:lang w:val="de-DE"/>
              </w:rPr>
              <w:t>Gửi Hối phiếu kèm Bộ Chứng Từ nhờ thu đi đòi tiền theo Quy tắc thống nhất về Nhờ thu URC 522</w:t>
            </w:r>
          </w:p>
          <w:p>
            <w:pPr>
              <w:pStyle w:val="Normal"/>
              <w:spacing w:lineRule="exact" w:line="300"/>
              <w:ind w:right="-108"/>
              <w:rPr>
                <w:i/>
                <w:i/>
                <w:lang w:val="de-DE"/>
              </w:rPr>
            </w:pPr>
            <w:r>
              <w:rPr>
                <w:i/>
                <w:lang w:val="de-DE"/>
              </w:rPr>
              <w:t xml:space="preserve"> </w:t>
            </w:r>
            <w:r>
              <w:rPr>
                <w:i/>
                <w:lang w:val="de-DE"/>
              </w:rPr>
              <w:t>Gửi Hối phiếu kèm Bộ chứng từ TTR/Hối phiếu kèm Bộ Chứng Từ khác đi đòi tiền</w:t>
            </w:r>
          </w:p>
          <w:p>
            <w:pPr>
              <w:pStyle w:val="Normal"/>
              <w:spacing w:lineRule="exact" w:line="300"/>
              <w:ind w:right="-108"/>
              <w:rPr>
                <w:i/>
                <w:i/>
                <w:lang w:val="de-DE"/>
              </w:rPr>
            </w:pPr>
            <w:r>
              <w:rPr>
                <w:i/>
                <w:lang w:val="de-DE"/>
              </w:rPr>
              <w:t xml:space="preserve">2.  Đề nghị về việc sử dụng dịch vụ chuyển phát để gửi Hối phiếu kèm Bộ Chứng Từ trong trường hợp Ngân Hàng đồng ý thực hiện chiết khấu có truy đòi Hối phiếu kèm Bộ Chứng Từ: </w:t>
            </w:r>
          </w:p>
          <w:p>
            <w:pPr>
              <w:pStyle w:val="Normal"/>
              <w:spacing w:lineRule="exact" w:line="300"/>
              <w:ind w:right="-108"/>
              <w:rPr>
                <w:i/>
                <w:i/>
                <w:lang w:val="de-DE"/>
              </w:rPr>
            </w:pPr>
            <w:r>
              <w:rPr>
                <w:i/>
                <w:lang w:val="de-DE"/>
              </w:rPr>
              <w:t></w:t>
            </w:r>
            <w:r>
              <w:rPr>
                <w:i/>
                <w:lang w:val="de-DE"/>
              </w:rPr>
              <w:t>Chúng tôi ủy quyền cho Ngân Hàng lựa chọn đơn vị cung cấp dịch vụ chuyển phát chứng từ và đồng ý chịu mọi chi phí và rủi ro liên quan đến việc chuyển phát này</w:t>
            </w:r>
          </w:p>
          <w:p>
            <w:pPr>
              <w:pStyle w:val="Normal"/>
              <w:spacing w:lineRule="exact" w:line="300"/>
              <w:ind w:right="-108"/>
              <w:rPr>
                <w:i/>
                <w:i/>
                <w:lang w:val="de-DE"/>
              </w:rPr>
            </w:pPr>
            <w:r>
              <w:rPr>
                <w:i/>
                <w:lang w:val="de-DE"/>
              </w:rPr>
              <w:t xml:space="preserve"> </w:t>
            </w:r>
            <w:r>
              <w:rPr>
                <w:i/>
                <w:lang w:val="de-DE"/>
              </w:rPr>
              <w:t>Đề nghị khác</w:t>
            </w:r>
          </w:p>
          <w:p>
            <w:pPr>
              <w:pStyle w:val="Normal"/>
              <w:spacing w:lineRule="exact" w:line="300"/>
              <w:jc w:val="both"/>
              <w:rPr>
                <w:i/>
                <w:i/>
                <w:lang w:val="de-DE"/>
              </w:rPr>
            </w:pPr>
            <w:r>
              <w:rPr>
                <w:i/>
                <w:lang w:val="de-DE"/>
              </w:rPr>
              <w:t>3. Khi nhận được tiền thanh toán từ Bên Có Nghĩa Vụ, đề nghị Ngân Hàng ghi có số tiền còn lại (nếu có) sau khi đã hoàn trả toàn bộ Nghĩa Vụ với Ngân Hàng vào tài khoản của chúng tôi số: 111002648221 tại VietinBank Chi nhánh Huế</w:t>
            </w:r>
          </w:p>
        </w:tc>
        <w:tc>
          <w:tcPr>
            <w:tcW w:w="29" w:type="dxa"/>
            <w:tcBorders/>
          </w:tcPr>
          <w:p>
            <w:pPr>
              <w:pStyle w:val="Normal"/>
              <w:rPr/>
            </w:pPr>
            <w:r>
              <w:rPr/>
            </w:r>
          </w:p>
        </w:tc>
      </w:tr>
      <w:tr>
        <w:trPr/>
        <w:tc>
          <w:tcPr>
            <w:tcW w:w="10236" w:type="dxa"/>
            <w:gridSpan w:val="10"/>
            <w:tcBorders>
              <w:top w:val="single" w:sz="4" w:space="0" w:color="000000"/>
              <w:left w:val="single" w:sz="4" w:space="0" w:color="000000"/>
              <w:bottom w:val="single" w:sz="4" w:space="0" w:color="000000"/>
              <w:right w:val="single" w:sz="4" w:space="0" w:color="000000"/>
            </w:tcBorders>
          </w:tcPr>
          <w:p>
            <w:pPr>
              <w:pStyle w:val="Normal"/>
              <w:spacing w:lineRule="exact" w:line="280"/>
              <w:jc w:val="both"/>
              <w:rPr>
                <w:b/>
                <w:i/>
                <w:i/>
                <w:lang w:val="de-DE"/>
              </w:rPr>
            </w:pPr>
            <w:r>
              <w:rPr>
                <w:b/>
                <w:i/>
                <w:lang w:val="de-DE"/>
              </w:rPr>
              <w:t>Đề nghị Ngân Hàng chiết khấu có truy đòi Hối phiếu kèm Bộ Chứng Từ:</w:t>
            </w:r>
          </w:p>
          <w:p>
            <w:pPr>
              <w:pStyle w:val="Normal"/>
              <w:spacing w:lineRule="exact" w:line="280"/>
              <w:ind w:firstLine="1000" w:right="447"/>
              <w:rPr>
                <w:i/>
                <w:i/>
                <w:sz w:val="20"/>
                <w:szCs w:val="20"/>
                <w:lang w:val="de-DE"/>
              </w:rPr>
            </w:pPr>
            <w:r>
              <w:rPr>
                <w:i/>
                <w:sz w:val="20"/>
                <w:szCs w:val="20"/>
                <w:lang w:val="de-DE"/>
              </w:rPr>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lang w:val="de-DE"/>
              </w:rPr>
            </w:pPr>
            <w:r>
              <w:rPr>
                <w:b/>
                <w:i/>
                <w:lang w:val="de-DE"/>
              </w:rPr>
              <w:t>Số tiền đề nghị chiết khấu/Giá Chiết Khấu:</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34"/>
              <w:rPr>
                <w:i/>
                <w:i/>
              </w:rPr>
            </w:pPr>
            <w:r>
              <w:rPr>
                <w:b/>
                <w:bCs/>
                <w:color w:val="FF0000"/>
              </w:rPr>
              <w:t>{discount_amount} USD</w:t>
            </w:r>
          </w:p>
        </w:tc>
      </w:tr>
      <w:tr>
        <w:trPr>
          <w:trHeight w:val="443" w:hRule="atLeast"/>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i/>
              </w:rPr>
              <w:t>Bằng chữ:</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34"/>
              <w:rPr>
                <w:i/>
                <w:i/>
              </w:rPr>
            </w:pPr>
            <w:r>
              <w:rPr>
                <w:color w:val="FF0000"/>
              </w:rPr>
              <w:t>{discount_amount_words} đô la Mỹ</w:t>
            </w:r>
          </w:p>
        </w:tc>
      </w:tr>
      <w:tr>
        <w:trPr>
          <w:trHeight w:val="443" w:hRule="atLeast"/>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i/>
                <w:i/>
              </w:rPr>
            </w:pPr>
            <w:r>
              <w:rPr>
                <w:i/>
              </w:rPr>
              <w:t xml:space="preserve">Phương thức cấp tín dụng :  </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ind w:right="447"/>
              <w:rPr>
                <w:color w:themeColor="text1" w:val="000000"/>
              </w:rPr>
            </w:pPr>
            <w:r>
              <w:rPr>
                <w:rFonts w:eastAsia="Wingdings" w:cs="Wingdings" w:ascii="Wingdings" w:hAnsi="Wingdings"/>
                <w:color w:themeColor="text1" w:val="000000"/>
                <w:lang w:val="de-DE"/>
              </w:rPr>
              <w:sym w:font="Wingdings" w:char="f0a8"/>
            </w:r>
            <w:r>
              <w:rPr>
                <w:color w:themeColor="text1" w:val="000000"/>
                <w:lang w:val="de-DE"/>
              </w:rPr>
              <w:t xml:space="preserve"> </w:t>
            </w:r>
            <w:r>
              <w:rPr>
                <w:color w:themeColor="text1" w:val="000000"/>
                <w:lang w:val="de-DE"/>
              </w:rPr>
              <w:t>Từng lần</w:t>
            </w:r>
          </w:p>
          <w:p>
            <w:pPr>
              <w:pStyle w:val="Normal"/>
              <w:spacing w:lineRule="exact" w:line="280"/>
              <w:ind w:right="34"/>
              <w:rPr>
                <w:i/>
                <w:i/>
              </w:rPr>
            </w:pPr>
            <w:r>
              <w:rPr>
                <w:rFonts w:eastAsia="Wingdings" w:cs="Wingdings" w:ascii="Wingdings" w:hAnsi="Wingdings"/>
                <w:color w:themeColor="text1" w:val="000000"/>
                <w:lang w:val="de-DE"/>
              </w:rPr>
              <w:sym w:font="Wingdings" w:char="f0fe"/>
            </w:r>
            <w:r>
              <w:rPr>
                <w:color w:themeColor="text1" w:val="000000"/>
                <w:lang w:val="de-DE"/>
              </w:rPr>
              <w:t xml:space="preserve"> Hạn mức</w:t>
            </w:r>
          </w:p>
        </w:tc>
      </w:tr>
      <w:tr>
        <w:trPr>
          <w:trHeight w:val="443" w:hRule="atLeast"/>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i/>
                <w:i/>
              </w:rPr>
            </w:pPr>
            <w:r>
              <w:rPr>
                <w:b/>
                <w:i/>
              </w:rPr>
              <w:t>Đồng tiền chiết khấu:</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34"/>
              <w:rPr>
                <w:i/>
                <w:i/>
              </w:rPr>
            </w:pPr>
            <w:r>
              <w:rPr>
                <w:color w:themeColor="text1" w:val="000000"/>
              </w:rPr>
              <w:t>USD</w:t>
            </w:r>
          </w:p>
        </w:tc>
      </w:tr>
      <w:tr>
        <w:trPr>
          <w:trHeight w:val="443" w:hRule="atLeast"/>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Tỷ giá nếu đồng tiền chiết khấu khác đồng tiền bộ chứng từ</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34"/>
              <w:rPr>
                <w:i/>
                <w:i/>
              </w:rPr>
            </w:pPr>
            <w:r>
              <w:rPr>
                <w:i/>
              </w:rPr>
              <w:t>…</w:t>
            </w:r>
            <w:r>
              <w:rPr>
                <w:i/>
              </w:rPr>
              <w:t>..</w:t>
            </w:r>
          </w:p>
        </w:tc>
      </w:tr>
      <w:tr>
        <w:trPr>
          <w:trHeight w:val="443" w:hRule="atLeast"/>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Tỷ lệ đề nghị chiết khấu</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34"/>
              <w:rPr>
                <w:i/>
                <w:i/>
              </w:rPr>
            </w:pPr>
            <w:r>
              <w:rPr>
                <w:i/>
                <w:color w:val="FF0000"/>
              </w:rPr>
              <w:t xml:space="preserve">{negotiate_pct}% </w:t>
            </w:r>
            <w:r>
              <w:rPr>
                <w:i/>
              </w:rPr>
              <w:t>giá trị đòi tiền theo Hối phiếu kèm Bộ Chứng Từ</w:t>
            </w:r>
          </w:p>
        </w:tc>
      </w:tr>
      <w:tr>
        <w:trPr>
          <w:trHeight w:val="443" w:hRule="atLeast"/>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Thời hạn chiết khấu:</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34"/>
              <w:rPr>
                <w:i/>
                <w:i/>
                <w:lang w:val="es-ES"/>
              </w:rPr>
            </w:pPr>
            <w:r>
              <w:rPr>
                <w:i/>
                <w:color w:val="FF0000"/>
                <w:lang w:val="es-ES"/>
              </w:rPr>
              <w:t>{term_days} ngày</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Mục đích chiết khấu:</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447"/>
              <w:rPr>
                <w:i/>
                <w:i/>
              </w:rPr>
            </w:pPr>
            <w:r>
              <w:rPr>
                <w:color w:themeColor="text1" w:val="000000"/>
              </w:rPr>
              <w:t>Chiết khấu bộ chứng từ để trả nợ vay ngắn hạn.</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447"/>
              <w:rPr>
                <w:i/>
                <w:i/>
              </w:rPr>
            </w:pPr>
            <w:r>
              <w:rPr>
                <w:i/>
              </w:rPr>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Lãi suất chiết khấu</w:t>
            </w:r>
            <w:r>
              <w:rPr>
                <w:b/>
                <w:i/>
              </w:rPr>
              <w:t>:</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447"/>
              <w:rPr>
                <w:i/>
                <w:i/>
              </w:rPr>
            </w:pPr>
            <w:r>
              <w:rPr>
                <w:b/>
                <w:color w:themeColor="text1" w:val="000000"/>
              </w:rPr>
              <w:t>4,8%/năm</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Lãi suất quá hạn</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447"/>
              <w:rPr>
                <w:i/>
                <w:i/>
              </w:rPr>
            </w:pPr>
            <w:r>
              <w:rPr>
                <w:i/>
              </w:rPr>
              <w:t>150% lãi suất trong hạn</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Các nội dung khác:</w:t>
            </w:r>
            <w:r>
              <w:rPr>
                <w:i/>
              </w:rPr>
              <w:t xml:space="preserve"> </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spacing w:lineRule="exact" w:line="280"/>
              <w:ind w:right="447"/>
              <w:rPr>
                <w:i/>
                <w:i/>
              </w:rPr>
            </w:pPr>
            <w:r>
              <w:rPr>
                <w:i/>
              </w:rPr>
              <w:t>……</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Phí</w:t>
            </w:r>
            <w:r>
              <w:rPr>
                <w:b/>
                <w:i/>
              </w:rPr>
              <w:t>:</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ind w:right="447"/>
              <w:rPr>
                <w:color w:themeColor="text1" w:val="000000"/>
              </w:rPr>
            </w:pPr>
            <w:r>
              <w:rPr>
                <w:color w:themeColor="text1" w:val="000000"/>
              </w:rPr>
              <w:t>Theo quy định của NHCTVN trong từng thời ký.</w:t>
            </w:r>
          </w:p>
          <w:p>
            <w:pPr>
              <w:pStyle w:val="Normal"/>
              <w:spacing w:lineRule="exact" w:line="280"/>
              <w:ind w:right="447"/>
              <w:rPr>
                <w:i/>
                <w:i/>
              </w:rPr>
            </w:pPr>
            <w:r>
              <w:rPr>
                <w:color w:themeColor="text1" w:val="000000"/>
              </w:rPr>
              <w:t>Tài khoản thu phí: 111002648221; 113002648147</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t>Biện Pháp Bảo Đảm:</w:t>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Than"/>
              <w:keepLines/>
              <w:widowControl w:val="false"/>
              <w:spacing w:before="120" w:after="0"/>
              <w:ind w:hanging="0"/>
              <w:rPr>
                <w:rFonts w:ascii="Times New Roman" w:hAnsi="Times New Roman"/>
                <w:sz w:val="22"/>
                <w:szCs w:val="22"/>
                <w:lang w:val="en-US"/>
              </w:rPr>
            </w:pPr>
            <w:r>
              <w:rPr>
                <w:rFonts w:ascii="Times New Roman" w:hAnsi="Times New Roman"/>
                <w:sz w:val="22"/>
                <w:szCs w:val="22"/>
                <w:lang w:val="vi-VN"/>
              </w:rPr>
              <w:t>Cấp tín dụng có bảo đảm đầy đủ bằng tài sản</w:t>
            </w:r>
            <w:r>
              <w:rPr>
                <w:rFonts w:ascii="Times New Roman" w:hAnsi="Times New Roman"/>
                <w:sz w:val="22"/>
                <w:szCs w:val="22"/>
                <w:lang w:val="en-US"/>
              </w:rPr>
              <w:t xml:space="preserve"> </w:t>
            </w:r>
            <w:r>
              <w:rPr>
                <w:rFonts w:ascii="Times New Roman" w:hAnsi="Times New Roman"/>
                <w:sz w:val="22"/>
                <w:szCs w:val="22"/>
                <w:lang w:val="vi-VN"/>
              </w:rPr>
              <w:t xml:space="preserve">theo Thông báo phê duyệt tín dụng số </w:t>
            </w:r>
            <w:r>
              <w:rPr>
                <w:rFonts w:ascii="Times New Roman" w:hAnsi="Times New Roman"/>
                <w:sz w:val="22"/>
                <w:szCs w:val="22"/>
                <w:lang w:val="en-US"/>
              </w:rPr>
              <w:t>144/</w:t>
            </w:r>
            <w:r>
              <w:rPr>
                <w:rFonts w:ascii="Times New Roman" w:hAnsi="Times New Roman"/>
                <w:sz w:val="22"/>
                <w:szCs w:val="22"/>
                <w:lang w:val="vi-VN"/>
              </w:rPr>
              <w:t xml:space="preserve">TGĐ-PDTD5 ngày </w:t>
            </w:r>
            <w:r>
              <w:rPr>
                <w:rFonts w:ascii="Times New Roman" w:hAnsi="Times New Roman"/>
                <w:sz w:val="22"/>
                <w:szCs w:val="22"/>
                <w:lang w:val="en-US"/>
              </w:rPr>
              <w:t>04</w:t>
            </w:r>
            <w:r>
              <w:rPr>
                <w:rFonts w:ascii="Times New Roman" w:hAnsi="Times New Roman"/>
                <w:sz w:val="22"/>
                <w:szCs w:val="22"/>
                <w:lang w:val="vi-VN"/>
              </w:rPr>
              <w:t>/06/202</w:t>
            </w:r>
            <w:r>
              <w:rPr>
                <w:rFonts w:ascii="Times New Roman" w:hAnsi="Times New Roman"/>
                <w:sz w:val="22"/>
                <w:szCs w:val="22"/>
                <w:lang w:val="en-US"/>
              </w:rPr>
              <w:t xml:space="preserve">6 </w:t>
            </w:r>
            <w:r>
              <w:rPr>
                <w:rFonts w:ascii="Times New Roman" w:hAnsi="Times New Roman"/>
                <w:sz w:val="22"/>
                <w:szCs w:val="22"/>
                <w:lang w:val="vi-VN"/>
              </w:rPr>
              <w:t>V/v phê duyệt cấp tín dụng đối với Công ty TNHH MTV Cao Su Huy Anh Phong Điền, T</w:t>
            </w:r>
            <w:r>
              <w:rPr>
                <w:rFonts w:ascii="Times New Roman" w:hAnsi="Times New Roman"/>
                <w:sz w:val="22"/>
                <w:szCs w:val="22"/>
                <w:lang w:val="en-US"/>
              </w:rPr>
              <w:t>rong đó:</w:t>
            </w:r>
          </w:p>
          <w:p>
            <w:pPr>
              <w:pStyle w:val="Than"/>
              <w:keepLines/>
              <w:widowControl w:val="false"/>
              <w:spacing w:before="0" w:after="0"/>
              <w:ind w:hanging="0"/>
              <w:rPr>
                <w:rFonts w:ascii="Times New Roman" w:hAnsi="Times New Roman"/>
                <w:sz w:val="22"/>
                <w:szCs w:val="22"/>
                <w:lang w:val="en-US"/>
              </w:rPr>
            </w:pPr>
            <w:r>
              <w:rPr>
                <w:rFonts w:ascii="Times New Roman" w:hAnsi="Times New Roman"/>
                <w:sz w:val="22"/>
                <w:szCs w:val="22"/>
                <w:lang w:val="vi-VN"/>
              </w:rPr>
              <w:t xml:space="preserve">+ </w:t>
            </w:r>
            <w:r>
              <w:rPr>
                <w:rFonts w:ascii="Times New Roman" w:hAnsi="Times New Roman"/>
                <w:sz w:val="22"/>
                <w:szCs w:val="22"/>
                <w:lang w:val="en-US"/>
              </w:rPr>
              <w:t>50% Quyền</w:t>
            </w:r>
            <w:r>
              <w:rPr>
                <w:rFonts w:ascii="Times New Roman" w:hAnsi="Times New Roman"/>
                <w:sz w:val="22"/>
                <w:szCs w:val="22"/>
                <w:lang w:val="vi-VN"/>
              </w:rPr>
              <w:t xml:space="preserve"> hưởng lợi từ BCT xuất khẩu (thực hiện theo Phần B Hợp đồng này).</w:t>
            </w:r>
          </w:p>
          <w:p>
            <w:pPr>
              <w:pStyle w:val="Normal"/>
              <w:spacing w:lineRule="exact" w:line="280"/>
              <w:ind w:right="447"/>
              <w:rPr>
                <w:i/>
                <w:i/>
              </w:rPr>
            </w:pPr>
            <w:r>
              <w:rPr>
                <w:sz w:val="22"/>
                <w:szCs w:val="22"/>
              </w:rPr>
              <w:t xml:space="preserve">+ 50% tài sản khác </w:t>
            </w:r>
          </w:p>
        </w:tc>
      </w:tr>
      <w:tr>
        <w:trPr/>
        <w:tc>
          <w:tcPr>
            <w:tcW w:w="10236" w:type="dxa"/>
            <w:gridSpan w:val="10"/>
            <w:tcBorders>
              <w:top w:val="single" w:sz="4" w:space="0" w:color="000000"/>
              <w:left w:val="single" w:sz="4" w:space="0" w:color="000000"/>
              <w:bottom w:val="single" w:sz="4" w:space="0" w:color="000000"/>
              <w:right w:val="single" w:sz="4" w:space="0" w:color="000000"/>
            </w:tcBorders>
          </w:tcPr>
          <w:p>
            <w:pPr>
              <w:pStyle w:val="Normal"/>
              <w:spacing w:lineRule="exact" w:line="280"/>
              <w:ind w:firstLine="34" w:right="447"/>
              <w:rPr>
                <w:i/>
                <w:i/>
              </w:rPr>
            </w:pPr>
            <w:r>
              <w:rPr>
                <w:b/>
                <w:i/>
              </w:rPr>
              <w:t>Phương thức chuyển tiền chiết khấu</w:t>
            </w:r>
            <w:r>
              <w:rPr>
                <w:i/>
              </w:rPr>
              <w:t>:</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720"/>
                <w:tab w:val="left" w:pos="368" w:leader="none"/>
              </w:tabs>
              <w:spacing w:lineRule="exact" w:line="280"/>
              <w:ind w:left="65"/>
              <w:rPr>
                <w:i/>
                <w:i/>
              </w:rPr>
            </w:pPr>
            <w:r>
              <w:rPr>
                <w:rFonts w:eastAsia="Wingdings" w:cs="Wingdings" w:ascii="Wingdings" w:hAnsi="Wingdings"/>
                <w:color w:themeColor="text1" w:val="000000"/>
                <w:lang w:val="de-DE"/>
              </w:rPr>
              <w:sym w:font="Wingdings" w:char="f0fe"/>
            </w:r>
            <w:r>
              <w:rPr>
                <w:color w:themeColor="text1" w:val="000000"/>
              </w:rPr>
              <w:t xml:space="preserve"> Chuyển vào tài khoản số: 111002648221 (USD) tại  Ngân hàng TMCP Việt Nam - Chi nhánh Huế.</w:t>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rPr>
                <w:b/>
                <w:i/>
                <w:i/>
              </w:rPr>
            </w:pPr>
            <w:r>
              <w:rPr>
                <w:b/>
                <w:i/>
              </w:rPr>
            </w:r>
          </w:p>
        </w:tc>
        <w:tc>
          <w:tcPr>
            <w:tcW w:w="6380" w:type="dxa"/>
            <w:gridSpan w:val="7"/>
            <w:tcBorders>
              <w:top w:val="single" w:sz="4" w:space="0" w:color="000000"/>
              <w:left w:val="single" w:sz="4" w:space="0" w:color="000000"/>
              <w:bottom w:val="single" w:sz="4" w:space="0" w:color="000000"/>
              <w:right w:val="single" w:sz="4" w:space="0" w:color="000000"/>
            </w:tcBorders>
          </w:tcPr>
          <w:p>
            <w:pPr>
              <w:pStyle w:val="Normal"/>
              <w:numPr>
                <w:ilvl w:val="0"/>
                <w:numId w:val="2"/>
              </w:numPr>
              <w:tabs>
                <w:tab w:val="clear" w:pos="720"/>
                <w:tab w:val="left" w:pos="368" w:leader="none"/>
              </w:tabs>
              <w:spacing w:lineRule="exact" w:line="280"/>
              <w:ind w:hanging="0" w:left="85"/>
              <w:rPr>
                <w:i/>
                <w:i/>
              </w:rPr>
            </w:pPr>
            <w:r>
              <w:rPr>
                <w:i/>
              </w:rPr>
              <w:t>Chuyển tiền khác: ………………………………………………</w:t>
            </w:r>
          </w:p>
        </w:tc>
      </w:tr>
      <w:tr>
        <w:trPr>
          <w:trHeight w:val="368" w:hRule="atLeast"/>
        </w:trPr>
        <w:tc>
          <w:tcPr>
            <w:tcW w:w="10207" w:type="dxa"/>
            <w:gridSpan w:val="9"/>
            <w:tcBorders>
              <w:top w:val="single" w:sz="4" w:space="0" w:color="000000"/>
              <w:left w:val="single" w:sz="4" w:space="0" w:color="000000"/>
              <w:bottom w:val="single" w:sz="4" w:space="0" w:color="000000"/>
              <w:right w:val="single" w:sz="4" w:space="0" w:color="000000"/>
            </w:tcBorders>
            <w:shd w:color="auto" w:fill="DBE5F1" w:val="clear"/>
            <w:vAlign w:val="center"/>
          </w:tcPr>
          <w:p>
            <w:pPr>
              <w:pStyle w:val="Normal"/>
              <w:tabs>
                <w:tab w:val="clear" w:pos="720"/>
                <w:tab w:val="left" w:pos="368" w:leader="none"/>
              </w:tabs>
              <w:ind w:left="85"/>
              <w:jc w:val="center"/>
              <w:rPr>
                <w:b/>
                <w:i/>
                <w:i/>
              </w:rPr>
            </w:pPr>
            <w:r>
              <w:rPr>
                <w:b/>
                <w:i/>
              </w:rPr>
              <w:t>CAM KẾT CỦA KHÁCH HÀNG</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dotted" w:sz="4" w:space="0" w:color="000000"/>
              <w:right w:val="single" w:sz="4" w:space="0" w:color="000000"/>
            </w:tcBorders>
          </w:tcPr>
          <w:p>
            <w:pPr>
              <w:pStyle w:val="Normal"/>
              <w:jc w:val="both"/>
              <w:rPr>
                <w:b/>
                <w:i/>
                <w:i/>
                <w:spacing w:val="-4"/>
              </w:rPr>
            </w:pPr>
            <w:r>
              <w:rPr>
                <w:b/>
                <w:i/>
                <w:spacing w:val="-4"/>
              </w:rPr>
              <w:t>Tôi/Chúng tôi cam kết và chịu trách  nhiệm trước pháp luật về các cam kết của mình dưới đây:</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rPr>
            </w:pPr>
            <w:r>
              <w:rPr>
                <w:i/>
                <w:spacing w:val="-4"/>
              </w:rPr>
              <w:t xml:space="preserve">Đáp ứng các điều kiện chiết khấu theo </w:t>
            </w:r>
            <w:r>
              <w:rPr>
                <w:i/>
                <w:spacing w:val="-4"/>
              </w:rPr>
              <w:t xml:space="preserve">thỏa thuận tại </w:t>
            </w:r>
            <w:r>
              <w:rPr>
                <w:i/>
                <w:lang w:val="de-DE"/>
              </w:rPr>
              <w:t>Hợp đồng chiết khấu Hối phiếu kèm Bộ Chứng Từ 06/2026-HĐCK/NHCT460-3301549896 ngày 04/06/2026 ký giữa Ngân hàng và tôi/chúng tôi (“</w:t>
            </w:r>
            <w:r>
              <w:rPr>
                <w:b/>
                <w:i/>
                <w:lang w:val="de-DE"/>
              </w:rPr>
              <w:t>Hợp Đồng Chiết Khấu</w:t>
            </w:r>
            <w:r>
              <w:rPr>
                <w:i/>
                <w:lang w:val="de-DE"/>
              </w:rPr>
              <w:t>“)</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spacing w:val="-4"/>
              </w:rPr>
            </w:pPr>
            <w:r>
              <w:rPr>
                <w:i/>
                <w:spacing w:val="-4"/>
              </w:rPr>
              <w:t>Không thay đổi nội dung về tài khoản chuyển tiền thanh toán/phương thức thanh toán trên Hợp đồng /văn bản thỏa thuận có giá trị pháp lý tương đương khác và các văn bản liên quan trong suốt thời gian thực hiện hợp đồng. Hợp đồng/văn bản thỏa thuận có giá trị pháp lý tương đương là thật và có giá trị pháp lý. Trường hợp người mua/ngân hàng chuyển tiền không đúng/không đủ thông tin theo chỉ dẫn, tôi/chúng tôi sẽ liên hệ ngay với phía đối tác để yêu cầu chuyển tiền phù hợp.</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spacing w:val="-4"/>
              </w:rPr>
            </w:pPr>
            <w:r>
              <w:rPr>
                <w:i/>
                <w:spacing w:val="-4"/>
              </w:rPr>
              <w:t>Trường hợp xuất trình House B/L kèm bộ chứng từ giao hàng, tôi/chúng tôi cam kết sẽ không chỉ thị cho người giao nhận giải phóng hàng cho người mua (telex release) mà không cần xuất trình B/L gốc trong suốt thời gian trước, trong và sau chiết khấu. Việc giao nhận hàng phải được thực hiện bằng bộ vận đơn đường biển gửi qua Ngân Hàng.</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spacing w:val="-4"/>
              </w:rPr>
            </w:pPr>
            <w:r>
              <w:rPr>
                <w:i/>
                <w:spacing w:val="-4"/>
              </w:rPr>
              <w:t>Tôi/Chúng tôi sẽ chịu mọi rủi ro và bồi thường thiệt hại xảy ra đối với Ngân Hàng (nếu có) khi giao dịch có liên quan đến các nước cấm vận hoặc liên quan đến các tổ chức tội phạm, tổ chức khủng bố hoặc giao dịch rửa tiền hoặc hàng hóa/dịch vụ nằm trong danh sách cấm vận không được phép thực hiện giao dịch thanh toán quốc tế và/hoặc danh mục cấm nhập khẩu của Bên nước nhập khẩu.</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spacing w:val="-4"/>
              </w:rPr>
            </w:pPr>
            <w:r>
              <w:rPr>
                <w:i/>
                <w:spacing w:val="-4"/>
              </w:rPr>
              <w:t>Bổ sung, hoàn thiện Bộ chứng từ xuất trình tại Ngân Hàng để gửi đi đòi tiền theo đúng thời hạn quy định và/hoặc đã cam kết.</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color w:val="FF0000"/>
                <w:spacing w:val="-4"/>
              </w:rPr>
            </w:pPr>
            <w:r>
              <w:rPr>
                <w:i/>
                <w:color w:val="FF0000"/>
                <w:spacing w:val="-4"/>
              </w:rPr>
              <w:t>Tần suất giao dịch mua bán với đối tác bên mua:</w:t>
            </w:r>
          </w:p>
          <w:p>
            <w:pPr>
              <w:pStyle w:val="Normal"/>
              <w:tabs>
                <w:tab w:val="clear" w:pos="720"/>
                <w:tab w:val="left" w:pos="368" w:leader="none"/>
              </w:tabs>
              <w:ind w:left="805"/>
              <w:jc w:val="both"/>
              <w:rPr>
                <w:i/>
                <w:i/>
                <w:color w:val="FF0000"/>
                <w:lang w:val="fr-FR"/>
              </w:rPr>
            </w:pPr>
            <w:r>
              <w:rPr>
                <w:i/>
                <w:color w:val="FF0000"/>
                <w:lang w:val="fr-FR"/>
              </w:rPr>
              <w:t xml:space="preserve"> </w:t>
            </w:r>
            <w:r>
              <w:rPr>
                <w:i/>
                <w:color w:val="FF0000"/>
                <w:lang w:val="fr-FR"/>
              </w:rPr>
              <w:t>Lần đầu giao dịch</w:t>
            </w:r>
          </w:p>
          <w:p>
            <w:pPr>
              <w:pStyle w:val="Normal"/>
              <w:tabs>
                <w:tab w:val="clear" w:pos="720"/>
                <w:tab w:val="left" w:pos="368" w:leader="none"/>
              </w:tabs>
              <w:ind w:left="805"/>
              <w:jc w:val="both"/>
              <w:rPr>
                <w:i/>
                <w:i/>
                <w:color w:val="FF0000"/>
                <w:lang w:val="fr-FR"/>
              </w:rPr>
            </w:pPr>
            <w:r>
              <w:rPr>
                <w:rFonts w:cs="Segoe UI Symbol" w:ascii="Segoe UI Symbol" w:hAnsi="Segoe UI Symbol"/>
                <w:i/>
                <w:color w:val="FF0000"/>
              </w:rPr>
              <w:t>✔</w:t>
            </w:r>
            <w:r>
              <w:rPr>
                <w:i/>
                <w:color w:val="FF0000"/>
                <w:lang w:val="fr-FR"/>
              </w:rPr>
              <w:t xml:space="preserve"> </w:t>
            </w:r>
            <w:r>
              <w:rPr>
                <w:i/>
                <w:color w:val="FF0000"/>
                <w:lang w:val="fr-FR"/>
              </w:rPr>
              <w:t>Đối tác mua hàng có uy tín, đã thực hiện thành công nhiều giao dịch.</w:t>
            </w:r>
          </w:p>
          <w:p>
            <w:pPr>
              <w:pStyle w:val="Normal"/>
              <w:tabs>
                <w:tab w:val="clear" w:pos="720"/>
                <w:tab w:val="left" w:pos="368" w:leader="none"/>
              </w:tabs>
              <w:ind w:left="805"/>
              <w:jc w:val="both"/>
              <w:rPr>
                <w:i/>
                <w:i/>
                <w:lang w:val="fr-FR"/>
              </w:rPr>
            </w:pPr>
            <w:r>
              <w:rPr>
                <w:i/>
                <w:color w:val="FF0000"/>
                <w:lang w:val="fr-FR"/>
              </w:rPr>
              <w:t xml:space="preserve"> </w:t>
            </w:r>
            <w:r>
              <w:rPr>
                <w:i/>
                <w:color w:val="FF0000"/>
                <w:lang w:val="fr-FR"/>
              </w:rPr>
              <w:t>Khác:</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spacing w:val="-4"/>
              </w:rPr>
            </w:pPr>
            <w:r>
              <w:rPr>
                <w:i/>
                <w:spacing w:val="-4"/>
              </w:rPr>
              <w:t>Tôi/Chúng tôi cam kết chịu mọi rủi ro có thể xảy ra về việc không gửi được Hối phiếu kèm Bộ Chứng Từ đi đòi tiền, hoặc thậm chí gửi được nhưng Bên Có Nghĩa Vụ (như được định nghĩa tại Điều 1 của Hợp Đồng Chiết Khấu)  từ chối thanh toán vì sự cố bất khả kháng, và hàng hóa có thể gặp khó khăn khi thông quan tại cảng đến do lệnh phong tỏa,</w:t>
            </w:r>
            <w:r>
              <w:rPr/>
              <w:t xml:space="preserve"> </w:t>
            </w:r>
            <w:r>
              <w:rPr>
                <w:i/>
                <w:spacing w:val="-4"/>
              </w:rPr>
              <w:t>hoặc Bên Có Nghĩa Vụ đồng ý thanh toán nhưng tiền không được chuyển vào tài khoản của chúng tôi vì bất cứ lý do gì.</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5"/>
              </w:numPr>
              <w:tabs>
                <w:tab w:val="clear" w:pos="720"/>
                <w:tab w:val="left" w:pos="368" w:leader="none"/>
              </w:tabs>
              <w:jc w:val="both"/>
              <w:rPr>
                <w:i/>
                <w:i/>
                <w:spacing w:val="-4"/>
              </w:rPr>
            </w:pPr>
            <w:r>
              <w:rPr>
                <w:i/>
                <w:spacing w:val="-4"/>
              </w:rPr>
              <w:t>Thực hiện theo đúng các quy định tại Hợp Đồng Chiết Khấu</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single" w:sz="4" w:space="0" w:color="000000"/>
              <w:right w:val="single" w:sz="4" w:space="0" w:color="000000"/>
            </w:tcBorders>
          </w:tcPr>
          <w:p>
            <w:pPr>
              <w:pStyle w:val="Normal"/>
              <w:numPr>
                <w:ilvl w:val="0"/>
                <w:numId w:val="5"/>
              </w:numPr>
              <w:tabs>
                <w:tab w:val="clear" w:pos="720"/>
                <w:tab w:val="left" w:pos="368" w:leader="none"/>
              </w:tabs>
              <w:jc w:val="both"/>
              <w:rPr>
                <w:i/>
                <w:i/>
                <w:lang w:val="fr-FR"/>
              </w:rPr>
            </w:pPr>
            <w:r>
              <w:rPr>
                <w:i/>
                <w:spacing w:val="-4"/>
              </w:rPr>
              <w:t>Đối với Tài sản bảo đảm là Quyền hưởng lợi đối với nguồn thu từ Hối phiếu kèm Bộ Chứng Từ chiết khấu</w:t>
            </w:r>
            <w:r>
              <w:rPr>
                <w:i/>
                <w:spacing w:val="-4"/>
              </w:rPr>
              <w:t>:</w:t>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0"/>
                <w:numId w:val="6"/>
              </w:numPr>
              <w:tabs>
                <w:tab w:val="clear" w:pos="720"/>
                <w:tab w:val="left" w:pos="378" w:leader="none"/>
              </w:tabs>
              <w:jc w:val="both"/>
              <w:rPr>
                <w:bCs/>
                <w:i/>
                <w:i/>
                <w:vanish/>
                <w:sz w:val="25"/>
                <w:szCs w:val="25"/>
                <w:lang w:val="es-ES"/>
              </w:rPr>
            </w:pPr>
            <w:r>
              <w:rPr>
                <w:bCs/>
                <w:i/>
                <w:vanish/>
                <w:sz w:val="25"/>
                <w:szCs w:val="25"/>
                <w:lang w:val="es-ES"/>
              </w:rPr>
            </w:r>
          </w:p>
          <w:p>
            <w:pPr>
              <w:pStyle w:val="ListParagraph"/>
              <w:numPr>
                <w:ilvl w:val="1"/>
                <w:numId w:val="6"/>
              </w:numPr>
              <w:tabs>
                <w:tab w:val="clear" w:pos="720"/>
                <w:tab w:val="left" w:pos="378" w:leader="none"/>
                <w:tab w:val="left" w:pos="870" w:leader="none"/>
              </w:tabs>
              <w:ind w:hanging="372" w:left="792"/>
              <w:jc w:val="both"/>
              <w:rPr>
                <w:i/>
                <w:i/>
                <w:spacing w:val="-4"/>
                <w:lang w:val="es-ES"/>
              </w:rPr>
            </w:pPr>
            <w:r>
              <w:rPr>
                <w:bCs/>
                <w:i/>
                <w:lang w:val="es-ES"/>
              </w:rPr>
              <w:t>Tôi/Chúng tôi xuất trình cho Ngân Hàng: (i)</w:t>
            </w:r>
            <w:r>
              <w:rPr>
                <w:i/>
                <w:spacing w:val="-4"/>
                <w:lang w:val="es-ES"/>
              </w:rPr>
              <w:t xml:space="preserve"> hợp lệ và hợp pháp, được lập trên cơ sở giao dịch mua bán hàng hoá có thực giữa chúng tôi với đối tác mua hàng; (ii) chưa được chuyển nhượng cho bất cứ bên thứ ba nào khác; (iii) tất cả các thông tin, các bên liên quan đến giao dịch này không liên quan đến hoạt động rửa tiền, tài trợ khủng bố và/hoặc thuộc đối tượng bị cấm vận, các giao dịch tiềm ẩn rủi  ro, vi phạm pháp luật khác; (iv) thuộc quyền thụ hưởng hợp pháp của </w:t>
            </w:r>
            <w:r>
              <w:rPr>
                <w:bCs/>
                <w:i/>
                <w:lang w:val="es-ES"/>
              </w:rPr>
              <w:t>Tôi/Chúng tôi</w:t>
            </w:r>
            <w:r>
              <w:rPr>
                <w:i/>
                <w:spacing w:val="-4"/>
                <w:lang w:val="es-ES"/>
              </w:rPr>
              <w:t xml:space="preserve">, không có tranh chấp, khiếu kiện, tố tụng pháp lý hoặc phân xử trọng tài, không sử dụng để cầm cố, bảo đảm cho nghĩa vụ khác ngoài các nghĩa vụ với Ngân Hàng; (v) chưa được người mua thanh toán phần giá trị đòi tiền của Hối phiếu kèm Bộ Chứng Từ; (vi) chưa được gửi đến người mua để đòi tiền bởi người bán hoặc thông qua bất kỳ bên thứ ba nào khác; (vii) chưa được tài trợ bởi bất kỳ Tổ chức tín dụng nào. Tôi/Chúng tôi sẽ thông báo ngay cho Ngân Hàng khi có tranh chấp hoặc khi nhận biết được có việc khiếu kiện hoặc lệnh của tòa án liên quan đến lô hàng thuộc Hối phiếu kèm Bộ Chứng Từ mà Ngân Hàng đã chiết khấu. Tôi/Chúng tôi </w:t>
            </w:r>
            <w:r>
              <w:rPr>
                <w:i/>
                <w:lang w:val="es-ES"/>
              </w:rPr>
              <w:t>cam kết chịu mọi trách nhiệm và rủi ro có thể phát sinh nếu vi phạm cam kết này và đồng ý rằng Ngân Hàng được miễn trách trong trường hợp các thông tin mà Tôi/Chúng tôi cung cấp cho Ngân Hàng trong quá trình thực hiện các giao dịch và trong các văn bản đã ký kết (nếu có) là không đúng hoặc có sự vi phạm các quy định trên.</w:t>
            </w:r>
          </w:p>
          <w:p>
            <w:pPr>
              <w:pStyle w:val="ListParagraph"/>
              <w:numPr>
                <w:ilvl w:val="1"/>
                <w:numId w:val="6"/>
              </w:numPr>
              <w:tabs>
                <w:tab w:val="clear" w:pos="720"/>
                <w:tab w:val="left" w:pos="378" w:leader="none"/>
                <w:tab w:val="left" w:pos="870" w:leader="none"/>
              </w:tabs>
              <w:ind w:hanging="372" w:left="792"/>
              <w:jc w:val="both"/>
              <w:rPr>
                <w:i/>
                <w:i/>
                <w:lang w:val="es-ES"/>
              </w:rPr>
            </w:pPr>
            <w:r>
              <w:rPr>
                <w:i/>
                <w:lang w:val="es-ES"/>
              </w:rPr>
              <w:t xml:space="preserve">Đối với Hối phiếu kèm Bộ Chứng Từ xuất trình, Tôi/Chúng tôi bảo đảm và cam kết rằng: (i) các chứng từ bàn giao cho Ngân Hàng là toàn bộ chứng từ mà Tôi/Chúng tôi có; (ii) cung cấp ngay cho Ngân Hàng bất kỳ chứng từ liên quan tới Hối phiếu kèm Bộ Chứng Từ mà Tôi/Chúng tôi có được sau thời điểm ký </w:t>
            </w:r>
            <w:r>
              <w:rPr>
                <w:i/>
                <w:lang w:val="de-DE"/>
              </w:rPr>
              <w:t>Giấy đề nghị chiết khấu kiêm Phụ lục Hợp đồng này</w:t>
            </w:r>
            <w:r>
              <w:rPr>
                <w:i/>
                <w:lang w:val="es-ES"/>
              </w:rPr>
              <w:t xml:space="preserve">; </w:t>
            </w:r>
          </w:p>
          <w:p>
            <w:pPr>
              <w:pStyle w:val="ListParagraph"/>
              <w:numPr>
                <w:ilvl w:val="1"/>
                <w:numId w:val="6"/>
              </w:numPr>
              <w:tabs>
                <w:tab w:val="clear" w:pos="720"/>
                <w:tab w:val="left" w:pos="378" w:leader="none"/>
                <w:tab w:val="left" w:pos="870" w:leader="none"/>
              </w:tabs>
              <w:ind w:hanging="372" w:left="792"/>
              <w:jc w:val="both"/>
              <w:rPr>
                <w:i/>
                <w:i/>
                <w:lang w:val="es-ES"/>
              </w:rPr>
            </w:pPr>
            <w:r>
              <w:rPr>
                <w:i/>
                <w:lang w:val="es-ES"/>
              </w:rPr>
              <w:t xml:space="preserve">Tôi/Chúng tôi bảo đảm các thông tin mà Tôi/Chúng tôi cung cấp trong </w:t>
            </w:r>
            <w:r>
              <w:rPr>
                <w:i/>
                <w:lang w:val="de-DE"/>
              </w:rPr>
              <w:t>Giấy đề nghị chiết khấu kiêm Phụ lục Hợp đồng này</w:t>
            </w:r>
            <w:r>
              <w:rPr>
                <w:i/>
                <w:lang w:val="es-ES"/>
              </w:rPr>
              <w:t xml:space="preserve"> là đầy đủ và chính xác. Tôi/Chúng tôi cam kết sẽ thông báo cho Ngân Hàng trước khi có bất kỳ hành động/không hành động nào làm thay đổi, ảnh hưởng đến quyền hưởng lợi đối với nguồn thu từ Hối phiếu kèm Bộ Chứng Từ chiết khấu và cung cấp ngay cho Ngân Hàng ngay sau khi Tôi/Chúng tôi có được bất kỳ thông tin nào: (i) liên quan tới việc tăng/giảm giá trị, sự dịch chuyển hoặc bất kỳ sự kiện nào có thể ảnh hưởng bất lợi tới quyền hưởng lợi đối với nguồn thu từ Hối phiếu kèm Bộ Chứng Từ chiết khấu; </w:t>
            </w:r>
            <w:r>
              <w:rPr>
                <w:i/>
                <w:color w:val="000000"/>
                <w:lang w:val="es-ES"/>
              </w:rPr>
              <w:t xml:space="preserve">bất kỳ sửa đổi, bổ sung hoặc sự kiện nào làm ảnh hưởng tới giá trị, hiệu lực, khả </w:t>
            </w:r>
            <w:r>
              <w:rPr>
                <w:i/>
                <w:color w:val="000000"/>
                <w:spacing w:val="-4"/>
                <w:lang w:val="es-ES"/>
              </w:rPr>
              <w:t xml:space="preserve">năng thi hành của </w:t>
            </w:r>
            <w:r>
              <w:rPr>
                <w:i/>
                <w:lang w:val="es-ES"/>
              </w:rPr>
              <w:t>Hối phiếu kèm Bộ Chứng Từ</w:t>
            </w:r>
            <w:r>
              <w:rPr>
                <w:i/>
                <w:color w:val="000000"/>
                <w:spacing w:val="-4"/>
                <w:lang w:val="es-ES"/>
              </w:rPr>
              <w:t xml:space="preserve">; và </w:t>
            </w:r>
            <w:r>
              <w:rPr>
                <w:i/>
                <w:spacing w:val="-4"/>
                <w:lang w:val="es-ES"/>
              </w:rPr>
              <w:t>(ii) liên quan tới chính Tôi/Chúng tôi;</w:t>
            </w:r>
          </w:p>
          <w:p>
            <w:pPr>
              <w:pStyle w:val="ListParagraph"/>
              <w:numPr>
                <w:ilvl w:val="1"/>
                <w:numId w:val="6"/>
              </w:numPr>
              <w:tabs>
                <w:tab w:val="clear" w:pos="720"/>
                <w:tab w:val="left" w:pos="378" w:leader="none"/>
                <w:tab w:val="left" w:pos="870" w:leader="none"/>
              </w:tabs>
              <w:ind w:hanging="372" w:left="792"/>
              <w:jc w:val="both"/>
              <w:rPr>
                <w:i/>
                <w:i/>
                <w:lang w:val="es-ES"/>
              </w:rPr>
            </w:pPr>
            <w:r>
              <w:rPr>
                <w:i/>
                <w:lang w:val="es-ES"/>
              </w:rPr>
              <w:t>Các cam đoan và bảo đảm, trách nhiệm khác của Tôi/Chúng tôi:</w:t>
            </w:r>
          </w:p>
          <w:p>
            <w:pPr>
              <w:pStyle w:val="ListParagraph"/>
              <w:numPr>
                <w:ilvl w:val="2"/>
                <w:numId w:val="6"/>
              </w:numPr>
              <w:tabs>
                <w:tab w:val="clear" w:pos="720"/>
                <w:tab w:val="left" w:pos="378" w:leader="none"/>
                <w:tab w:val="left" w:pos="780" w:leader="none"/>
              </w:tabs>
              <w:spacing w:lineRule="auto" w:line="264"/>
              <w:ind w:hanging="360" w:left="780"/>
              <w:jc w:val="both"/>
              <w:rPr>
                <w:i/>
                <w:i/>
                <w:lang w:val="es-ES"/>
              </w:rPr>
            </w:pPr>
            <w:r>
              <w:rPr>
                <w:i/>
                <w:lang w:val="es-ES"/>
              </w:rPr>
              <w:t xml:space="preserve">Sẽ bổ sung tài sản khác hoặc thay thế biện pháp bảo đảm khác theo yêu cầu của Ngân Hàng nếu quyền hưởng lợi đối với nguồn thu từ Hối phiếu kèm bộ chứng từ chiết khấu bị giảm giá trị không đủ để đảm bảo cho các nghĩa vụ thanh toán với Ngân Hàng; </w:t>
            </w:r>
          </w:p>
          <w:p>
            <w:pPr>
              <w:pStyle w:val="ListParagraph"/>
              <w:numPr>
                <w:ilvl w:val="2"/>
                <w:numId w:val="6"/>
              </w:numPr>
              <w:tabs>
                <w:tab w:val="clear" w:pos="720"/>
                <w:tab w:val="left" w:pos="378" w:leader="none"/>
                <w:tab w:val="left" w:pos="780" w:leader="none"/>
              </w:tabs>
              <w:spacing w:lineRule="auto" w:line="264"/>
              <w:ind w:hanging="360" w:left="780"/>
              <w:jc w:val="both"/>
              <w:rPr>
                <w:i/>
                <w:i/>
                <w:lang w:val="es-ES"/>
              </w:rPr>
            </w:pPr>
            <w:r>
              <w:rPr>
                <w:i/>
                <w:lang w:val="es-ES"/>
              </w:rPr>
              <w:t>Trường hợp các nghĩa vụ liên quan đến khoản chiết khấu được bảo đảm bởi quyền hưởng lợi đối với nguồn thu từ Hối phiếu kèm Bộ Chứng Từ chiết khấu và/hoặc tài sản khác (nếu có) của Tôi/Chúng tôi và/hoặc bên thứ ba và/hoặc biện pháp bảo đảm khác, Tôi/Chúng tôi đồng ý rằng Ngân Hàng được quyền lựa chọn xử lý đồng thời tất cả tài sản hoặc bất kỳ tài sản nào hoặc biện pháp bảo đảm khác theo thứ tự do Ngân Hàng toàn quyền quyết định khi nghĩa vụ liên quan đến khoản chiết khấu bị vi phạm;</w:t>
            </w:r>
          </w:p>
          <w:p>
            <w:pPr>
              <w:pStyle w:val="ListParagraph"/>
              <w:numPr>
                <w:ilvl w:val="2"/>
                <w:numId w:val="6"/>
              </w:numPr>
              <w:tabs>
                <w:tab w:val="clear" w:pos="720"/>
                <w:tab w:val="left" w:pos="378" w:leader="none"/>
                <w:tab w:val="left" w:pos="780" w:leader="none"/>
              </w:tabs>
              <w:spacing w:lineRule="auto" w:line="264"/>
              <w:ind w:hanging="360" w:left="780"/>
              <w:jc w:val="both"/>
              <w:rPr>
                <w:i/>
                <w:i/>
                <w:lang w:val="es-ES"/>
              </w:rPr>
            </w:pPr>
            <w:r>
              <w:rPr>
                <w:i/>
                <w:lang w:val="es-ES"/>
              </w:rPr>
              <w:t xml:space="preserve">Sẽ hành động và ký kết bất kỳ văn bản, tài liệu nào phù hợp với quy định của pháp luật và theo yêu cầu của Ngân Hàng khi quyền hưởng lợi đối với nguồn thu từ Hối phiếu kèm Bộ Chứng Từ chiết khấu bị xử lý và chịu mọi chi phí, phí tổn liên quan tới việc xử lý quyền hưởng lợi đối với nguồn thu từ Hối phiếu kèm Bộ Chứng Từ chiết khấu; </w:t>
            </w:r>
          </w:p>
          <w:p>
            <w:pPr>
              <w:pStyle w:val="ListParagraph"/>
              <w:numPr>
                <w:ilvl w:val="2"/>
                <w:numId w:val="6"/>
              </w:numPr>
              <w:tabs>
                <w:tab w:val="clear" w:pos="720"/>
                <w:tab w:val="left" w:pos="378" w:leader="none"/>
                <w:tab w:val="left" w:pos="780" w:leader="none"/>
              </w:tabs>
              <w:spacing w:lineRule="auto" w:line="264"/>
              <w:ind w:hanging="360" w:left="780"/>
              <w:jc w:val="both"/>
              <w:rPr>
                <w:i/>
                <w:i/>
                <w:lang w:val="es-ES"/>
              </w:rPr>
            </w:pPr>
            <w:r>
              <w:rPr>
                <w:i/>
                <w:lang w:val="es-ES"/>
              </w:rPr>
              <w:t>Không sửa đổi, bổ sung, chấm dứt, thực hiện hoặc không thực hiện bất kỳ hành vi nào làm ảnh hưởng tới quyền, lợi ích của Tôi/Chúng tôi, giá trị, khả năng thi hành, hiệu lực của Hối phiếu kèm Bộ Chứng Từ trừ khi có sự đồng ý trước bằng văn bản của Ngân Hàng hoặc việc sửa đổi, bổ sung, thực hiện hoặc không thực hiện đó làm gia tăng giá trị của quyền hưởng lợi đối với nguồn thu từ Hối phiếu kèm Bộ Chứng Từ chiết khấu;</w:t>
            </w:r>
          </w:p>
          <w:p>
            <w:pPr>
              <w:pStyle w:val="ListParagraph"/>
              <w:numPr>
                <w:ilvl w:val="2"/>
                <w:numId w:val="6"/>
              </w:numPr>
              <w:tabs>
                <w:tab w:val="clear" w:pos="720"/>
                <w:tab w:val="left" w:pos="378" w:leader="none"/>
                <w:tab w:val="left" w:pos="780" w:leader="none"/>
              </w:tabs>
              <w:spacing w:lineRule="auto" w:line="264"/>
              <w:ind w:hanging="360" w:left="780"/>
              <w:jc w:val="both"/>
              <w:rPr>
                <w:i/>
                <w:i/>
                <w:lang w:val="es-ES"/>
              </w:rPr>
            </w:pPr>
            <w:r>
              <w:rPr>
                <w:i/>
                <w:lang w:val="es-ES"/>
              </w:rPr>
              <w:t xml:space="preserve">Tôi/Chúng tôi khẳng định quyền hưởng lợi đối với nguồn thu từ Hối phiếu kèm Bộ Chứng Từ chiết khấu chỉ được giải chấp và không chịu sự ràng buộc của </w:t>
            </w:r>
            <w:r>
              <w:rPr>
                <w:i/>
                <w:lang w:val="de-DE"/>
              </w:rPr>
              <w:t>Giấy đề nghị chiết khấu kiêm Phụ lục Hợp đồng này</w:t>
            </w:r>
            <w:r>
              <w:rPr>
                <w:i/>
                <w:lang w:val="es-ES"/>
              </w:rPr>
              <w:t xml:space="preserve"> khi Tôi/Chúng tôi không còn bất kỳ nghĩa vụ nợ nào đối với Ngân Hàng, trừ trường hợp Các Bên có thoả thuận khác.</w:t>
            </w:r>
          </w:p>
          <w:p>
            <w:pPr>
              <w:pStyle w:val="ListParagraph"/>
              <w:numPr>
                <w:ilvl w:val="2"/>
                <w:numId w:val="6"/>
              </w:numPr>
              <w:tabs>
                <w:tab w:val="clear" w:pos="720"/>
                <w:tab w:val="left" w:pos="378" w:leader="none"/>
                <w:tab w:val="left" w:pos="780" w:leader="none"/>
              </w:tabs>
              <w:spacing w:lineRule="auto" w:line="264"/>
              <w:ind w:hanging="360" w:left="780"/>
              <w:jc w:val="both"/>
              <w:rPr>
                <w:i/>
                <w:i/>
                <w:lang w:val="es-ES"/>
              </w:rPr>
            </w:pPr>
            <w:r>
              <w:rPr>
                <w:i/>
                <w:color w:val="000000"/>
                <w:lang w:val="es-ES"/>
              </w:rPr>
              <w:t xml:space="preserve">Tôi/Chúng tôi cam đoan đã hiểu và đồng ý với toàn bộ nội dung của </w:t>
            </w:r>
            <w:r>
              <w:rPr>
                <w:i/>
                <w:lang w:val="de-DE"/>
              </w:rPr>
              <w:t>Giấy đề nghị chiết khấu kiêm Phụ lục Hợp đồng này</w:t>
            </w:r>
            <w:r>
              <w:rPr>
                <w:i/>
                <w:color w:val="000000"/>
                <w:lang w:val="es-ES"/>
              </w:rPr>
              <w:t>.</w:t>
            </w:r>
          </w:p>
          <w:p>
            <w:pPr>
              <w:pStyle w:val="ListParagraph"/>
              <w:numPr>
                <w:ilvl w:val="2"/>
                <w:numId w:val="6"/>
              </w:numPr>
              <w:tabs>
                <w:tab w:val="clear" w:pos="720"/>
                <w:tab w:val="left" w:pos="378" w:leader="none"/>
                <w:tab w:val="left" w:pos="780" w:leader="none"/>
              </w:tabs>
              <w:spacing w:lineRule="auto" w:line="264"/>
              <w:ind w:hanging="360" w:left="780"/>
              <w:jc w:val="both"/>
              <w:rPr>
                <w:i/>
                <w:i/>
                <w:spacing w:val="-4"/>
                <w:lang w:val="es-ES"/>
              </w:rPr>
            </w:pPr>
            <w:r>
              <w:rPr>
                <w:i/>
                <w:lang w:val="es-ES"/>
              </w:rPr>
              <w:t xml:space="preserve">Tôi/Chúng tôi cam kết cho dù các Hợp Đồng Chiết Khấu bị tuyên vô hiệu hoặc có sai sót mà Ngân Hàng đã giải ngân và đã phát sinh bất kỳ số dư tín dụng nào cho Ngân Hàng theo các Hợp Đồng Chiết Khấu thì Tôi/Chúng tôi vẫn thực hiện đầy đủ các trách nhiệm của mình theo </w:t>
            </w:r>
            <w:r>
              <w:rPr>
                <w:i/>
                <w:lang w:val="de-DE"/>
              </w:rPr>
              <w:t>Giấy đề nghị chiết khấu kiêm Phụ lục Hợp đồng này</w:t>
            </w:r>
            <w:r>
              <w:rPr>
                <w:i/>
                <w:lang w:val="es-ES"/>
              </w:rPr>
              <w:t>.</w:t>
            </w:r>
          </w:p>
          <w:p>
            <w:pPr>
              <w:pStyle w:val="Normal"/>
              <w:numPr>
                <w:ilvl w:val="0"/>
                <w:numId w:val="5"/>
              </w:numPr>
              <w:tabs>
                <w:tab w:val="clear" w:pos="720"/>
                <w:tab w:val="left" w:pos="368" w:leader="none"/>
              </w:tabs>
              <w:jc w:val="both"/>
              <w:rPr>
                <w:i/>
                <w:i/>
                <w:spacing w:val="-4"/>
                <w:lang w:val="es-ES"/>
              </w:rPr>
            </w:pPr>
            <w:r>
              <w:rPr>
                <w:i/>
                <w:spacing w:val="-4"/>
                <w:lang w:val="es-ES"/>
              </w:rPr>
              <w:t>Tôi/Chúng tôi cam kết xuất trình đầy đủ Bộ chứng từ đúng thời hạn mà Ngân Hàng đã cho nợ được ghi nhận trong Giấy đề nghị chiết khấu kiêm Phụ lục Hợp đồng này. Nếu quá thời hạn nợ chứng từ mà Tôi/Chúng tôi chưa xuất trình cho Ngân Hàng, Tôi/Chúng tôi đồng ý rằng Ngân Hàng có quyền dừng chiết khấu và áp dụng mọi biện pháp xử lý tín dụng mà Ngân Hàng thấy là cần thiết để thu hồi các nghĩa vụ tài chính của Tôi/Chúng tôi với Ngân Hàng.</w:t>
            </w:r>
          </w:p>
          <w:p>
            <w:pPr>
              <w:pStyle w:val="Normal"/>
              <w:tabs>
                <w:tab w:val="clear" w:pos="720"/>
                <w:tab w:val="left" w:pos="368" w:leader="none"/>
              </w:tabs>
              <w:jc w:val="both"/>
              <w:rPr>
                <w:i/>
                <w:i/>
                <w:spacing w:val="-4"/>
                <w:lang w:val="es-ES"/>
              </w:rPr>
            </w:pPr>
            <w:r>
              <w:rPr/>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shd w:color="auto" w:fill="DBE5F1" w:themeFill="accent1" w:themeFillTint="33" w:val="clear"/>
          </w:tcPr>
          <w:p>
            <w:pPr>
              <w:pStyle w:val="Normal"/>
              <w:numPr>
                <w:ilvl w:val="0"/>
                <w:numId w:val="1"/>
              </w:numPr>
              <w:ind w:hanging="446" w:left="259"/>
              <w:jc w:val="center"/>
              <w:rPr>
                <w:i/>
                <w:i/>
                <w:lang w:val="es-ES"/>
              </w:rPr>
            </w:pPr>
            <w:r>
              <w:rPr>
                <w:b/>
                <w:i/>
                <w:sz w:val="22"/>
                <w:szCs w:val="22"/>
                <w:lang w:val="es-ES"/>
              </w:rPr>
              <w:t>THOẢ THUẬN VỀ BIỆN PHÁP BẢO ĐẢM</w:t>
            </w:r>
          </w:p>
        </w:tc>
        <w:tc>
          <w:tcPr>
            <w:tcW w:w="29" w:type="dxa"/>
            <w:tcBorders/>
          </w:tcPr>
          <w:p>
            <w:pPr>
              <w:pStyle w:val="Normal"/>
              <w:rPr/>
            </w:pPr>
            <w:r>
              <w:rPr/>
            </w:r>
          </w:p>
        </w:tc>
      </w:tr>
      <w:tr>
        <w:trPr>
          <w:trHeight w:val="240" w:hRule="atLeast"/>
        </w:trPr>
        <w:tc>
          <w:tcPr>
            <w:tcW w:w="10207" w:type="dxa"/>
            <w:gridSpan w:val="9"/>
            <w:tcBorders>
              <w:top w:val="single" w:sz="4" w:space="0" w:color="000000"/>
              <w:left w:val="single" w:sz="4" w:space="0" w:color="000000"/>
              <w:bottom w:val="dotted" w:sz="4" w:space="0" w:color="000000"/>
              <w:right w:val="single" w:sz="4" w:space="0" w:color="000000"/>
            </w:tcBorders>
          </w:tcPr>
          <w:p>
            <w:pPr>
              <w:pStyle w:val="Normal"/>
              <w:numPr>
                <w:ilvl w:val="0"/>
                <w:numId w:val="7"/>
              </w:numPr>
              <w:tabs>
                <w:tab w:val="clear" w:pos="720"/>
                <w:tab w:val="left" w:pos="368" w:leader="none"/>
              </w:tabs>
              <w:jc w:val="both"/>
              <w:rPr>
                <w:b/>
                <w:i/>
                <w:i/>
                <w:sz w:val="22"/>
                <w:szCs w:val="22"/>
              </w:rPr>
            </w:pPr>
            <w:r>
              <w:rPr>
                <w:i/>
                <w:lang w:val="de-DE"/>
              </w:rPr>
              <w:t xml:space="preserve">Biện </w:t>
            </w:r>
            <w:r>
              <w:rPr>
                <w:i/>
                <w:spacing w:val="-4"/>
                <w:lang w:val="es-ES"/>
              </w:rPr>
              <w:t>pháp</w:t>
            </w:r>
            <w:r>
              <w:rPr>
                <w:i/>
                <w:lang w:val="de-DE"/>
              </w:rPr>
              <w:t xml:space="preserve"> bảo đảm</w:t>
            </w:r>
            <w:r>
              <w:rPr>
                <w:i/>
                <w:sz w:val="22"/>
                <w:szCs w:val="22"/>
                <w:lang w:val="es-ES"/>
              </w:rPr>
              <w:t>:</w:t>
            </w:r>
            <w:r>
              <w:rPr>
                <w:b/>
                <w:i/>
                <w:sz w:val="22"/>
                <w:szCs w:val="22"/>
                <w:lang w:val="es-ES"/>
              </w:rPr>
              <w:t xml:space="preserve"> </w:t>
            </w:r>
            <w:r>
              <w:rPr>
                <w:i/>
                <w:lang w:val="es-ES"/>
              </w:rPr>
              <w:t xml:space="preserve">Khách Hàng đồng ý thế chấp tài sản của mình cho Ngân Hàng để bảo đảm cho nghĩa vụ của Khách Hàng </w:t>
            </w:r>
            <w:r>
              <w:rPr>
                <w:i/>
                <w:lang w:val="es-ES"/>
              </w:rPr>
              <w:t xml:space="preserve">theo quy định tại mục 2 dưới đây. </w:t>
            </w:r>
            <w:r>
              <w:rPr>
                <w:i/>
              </w:rPr>
              <w:t>Thông tin chi tiết như sau:</w:t>
            </w:r>
          </w:p>
          <w:p>
            <w:pPr>
              <w:pStyle w:val="ListParagraph"/>
              <w:numPr>
                <w:ilvl w:val="2"/>
                <w:numId w:val="8"/>
              </w:numPr>
              <w:tabs>
                <w:tab w:val="clear" w:pos="720"/>
                <w:tab w:val="left" w:pos="378" w:leader="none"/>
                <w:tab w:val="left" w:pos="780" w:leader="none"/>
              </w:tabs>
              <w:spacing w:lineRule="auto" w:line="264"/>
              <w:ind w:hanging="360" w:left="780"/>
              <w:jc w:val="both"/>
              <w:rPr>
                <w:b/>
                <w:i/>
                <w:i/>
              </w:rPr>
            </w:pPr>
            <w:r>
              <w:rPr>
                <w:i/>
              </w:rPr>
              <w:t>Tài sản thế chấp:</w:t>
            </w:r>
            <w:r>
              <w:rPr>
                <w:b/>
                <w:i/>
              </w:rPr>
              <w:t xml:space="preserve"> </w:t>
            </w:r>
            <w:r>
              <w:rPr>
                <w:i/>
              </w:rPr>
              <w:t xml:space="preserve">Là quyền </w:t>
            </w:r>
            <w:r>
              <w:rPr>
                <w:i/>
                <w:lang w:val="es-ES"/>
              </w:rPr>
              <w:t xml:space="preserve">hưởng lợi đối với nguồn thu từ Hối phiếu kèm Bộ Chứng Từ đề nghị chiết khấu </w:t>
            </w:r>
            <w:r>
              <w:rPr>
                <w:i/>
              </w:rPr>
              <w:t xml:space="preserve">của Khách Hàng theo mô tả tại Phần A của </w:t>
            </w:r>
            <w:r>
              <w:rPr>
                <w:i/>
                <w:lang w:val="de-DE"/>
              </w:rPr>
              <w:t>Giấy đề nghị chiết khấu kiêm Phụ lục Hợp đồng này</w:t>
            </w:r>
            <w:r>
              <w:rPr>
                <w:i/>
              </w:rPr>
              <w:t>.</w:t>
            </w:r>
          </w:p>
          <w:p>
            <w:pPr>
              <w:pStyle w:val="ListParagraph"/>
              <w:numPr>
                <w:ilvl w:val="2"/>
                <w:numId w:val="8"/>
              </w:numPr>
              <w:tabs>
                <w:tab w:val="clear" w:pos="720"/>
                <w:tab w:val="left" w:pos="378" w:leader="none"/>
                <w:tab w:val="left" w:pos="780" w:leader="none"/>
              </w:tabs>
              <w:spacing w:lineRule="auto" w:line="264"/>
              <w:ind w:hanging="360" w:left="780"/>
              <w:jc w:val="both"/>
              <w:rPr>
                <w:i/>
                <w:i/>
              </w:rPr>
            </w:pPr>
            <w:r>
              <w:rPr>
                <w:i/>
              </w:rPr>
              <w:t xml:space="preserve">Giá trị tài sản thế chấp: </w:t>
            </w:r>
          </w:p>
          <w:p>
            <w:pPr>
              <w:pStyle w:val="Normal"/>
              <w:ind w:hanging="360" w:left="1140"/>
              <w:jc w:val="both"/>
              <w:rPr>
                <w:i/>
                <w:i/>
              </w:rPr>
            </w:pPr>
            <w:r>
              <w:rPr>
                <w:i/>
                <w:lang w:val="es-ES"/>
              </w:rPr>
              <w:t>(b.1)</w:t>
            </w:r>
            <w:r>
              <w:rPr>
                <w:i/>
              </w:rPr>
              <w:t xml:space="preserve">Tại thời điểm ký kết </w:t>
            </w:r>
            <w:r>
              <w:rPr>
                <w:i/>
                <w:lang w:val="de-DE"/>
              </w:rPr>
              <w:t xml:space="preserve">Giấy đề nghị chiết khấu kiêm Phụ lục Hợp đồng </w:t>
            </w:r>
            <w:r>
              <w:rPr>
                <w:i/>
              </w:rPr>
              <w:t xml:space="preserve">này, Ngân Hàng và Khách Hàng thống nhất định giá giá trị của tài sản thế chấp là </w:t>
            </w:r>
            <w:r>
              <w:rPr>
                <w:i/>
                <w:color w:val="FF0000"/>
              </w:rPr>
              <w:t>1.350.000.000 VNĐ (Bằng chữ: Một tỷ, ba trăm năm mươi triệu Đồng).</w:t>
            </w:r>
          </w:p>
          <w:p>
            <w:pPr>
              <w:pStyle w:val="Normal"/>
              <w:ind w:hanging="360" w:left="1140"/>
              <w:jc w:val="both"/>
              <w:rPr>
                <w:i/>
                <w:i/>
              </w:rPr>
            </w:pPr>
            <w:r>
              <w:rPr>
                <w:i/>
              </w:rPr>
              <w:t>(b.2) Giá trị của tài sản thế chấp có thể được điều chỉnh lại theo thoả thuận bằng biên bản giữa Ngân Hàng và Khách Hàng hoặc bằng một văn bản do Ngân Hàng toàn quyền quyết định (trong trường hợp Ngân Hàng không thể thoả thuận được với Khách Hàng) theo chính sách định giá tài sản bảo đảm của Ngân Hàng.</w:t>
            </w:r>
          </w:p>
          <w:p>
            <w:pPr>
              <w:pStyle w:val="Normal"/>
              <w:ind w:hanging="360" w:left="1140"/>
              <w:jc w:val="both"/>
              <w:rPr>
                <w:i/>
                <w:i/>
              </w:rPr>
            </w:pPr>
            <w:r>
              <w:rPr>
                <w:i/>
              </w:rPr>
              <w:t xml:space="preserve">(b.3) Giá trị tài sản thế chấp chỉ có ý nghĩa liên quan đến việc xác định khoản chiết khấu (nợ gốc/số dư khoản chiết khấu) tối đa mà Ngân Hàng cấp cho Khách Hàng theo quy định nội bộ của Ngân Hàng trong từng thời kỳ mà không bắt buộc phải được áp dụng khi xử lý tài sản thế chấp. Các bên đồng ý không ký văn bản sửa đổi </w:t>
            </w:r>
            <w:r>
              <w:rPr>
                <w:i/>
                <w:lang w:val="de-DE"/>
              </w:rPr>
              <w:t>Giấy đề nghị chiết khấu kiêm Phụ lục Hợp đồng</w:t>
            </w:r>
            <w:r>
              <w:rPr>
                <w:i/>
              </w:rPr>
              <w:t xml:space="preserve"> này hoặc đăng ký/sửa đổi đăng ký biện pháp bảo đảm trong trường hợp giá trị Tài Sản Thế Chấp được định giá lại khác với giá trị nêu tại Điểm 1 (b.1), Phần B của </w:t>
            </w:r>
            <w:r>
              <w:rPr>
                <w:i/>
                <w:lang w:val="de-DE"/>
              </w:rPr>
              <w:t>Giấy đề nghị chiết khấu kiêm Phụ lục Hợp đồng</w:t>
            </w:r>
            <w:r>
              <w:rPr>
                <w:i/>
              </w:rPr>
              <w:t xml:space="preserve"> này.</w:t>
            </w:r>
          </w:p>
          <w:p>
            <w:pPr>
              <w:pStyle w:val="Normal"/>
              <w:ind w:hanging="360" w:left="1140"/>
              <w:jc w:val="both"/>
              <w:rPr>
                <w:b/>
                <w:i/>
                <w:i/>
                <w:sz w:val="22"/>
                <w:szCs w:val="22"/>
              </w:rPr>
            </w:pPr>
            <w:r>
              <w:rPr/>
            </w:r>
          </w:p>
        </w:tc>
        <w:tc>
          <w:tcPr>
            <w:tcW w:w="29" w:type="dxa"/>
            <w:tcBorders/>
          </w:tcPr>
          <w:p>
            <w:pPr>
              <w:pStyle w:val="Normal"/>
              <w:rPr/>
            </w:pPr>
            <w:r>
              <w:rPr/>
            </w:r>
          </w:p>
        </w:tc>
      </w:tr>
      <w:tr>
        <w:trPr>
          <w:trHeight w:val="240" w:hRule="atLeast"/>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7"/>
              </w:numPr>
              <w:tabs>
                <w:tab w:val="clear" w:pos="720"/>
                <w:tab w:val="left" w:pos="368" w:leader="none"/>
              </w:tabs>
              <w:jc w:val="both"/>
              <w:rPr>
                <w:i/>
                <w:i/>
                <w:lang w:val="de-DE"/>
              </w:rPr>
            </w:pPr>
            <w:r>
              <w:rPr>
                <w:i/>
                <w:lang w:val="de-DE"/>
              </w:rPr>
              <w:t>Nghĩa vụ được bảo đảm: L</w:t>
            </w:r>
            <w:r>
              <w:rPr>
                <w:i/>
                <w:lang w:val="es-ES"/>
              </w:rPr>
              <w:t xml:space="preserve">à toàn bộ nghĩa vụ trả nợ đầy đủ và đúng hạn (bao gồm: gốc, lãi, phí, tiền phạt, tiền bồi thường thiệt hại và các nghĩa vụ tài chính khác) của Khách Hàng đối với Ngân Hàng phát sinh từ </w:t>
            </w:r>
            <w:r>
              <w:rPr>
                <w:i/>
                <w:lang w:val="de-DE"/>
              </w:rPr>
              <w:t>Giấy đề nghị chiết khấu kiêm Phụ lục Hợp đồng</w:t>
            </w:r>
            <w:r>
              <w:rPr>
                <w:i/>
              </w:rPr>
              <w:t xml:space="preserve"> này </w:t>
            </w:r>
            <w:r>
              <w:rPr>
                <w:i/>
                <w:lang w:val="es-ES"/>
              </w:rPr>
              <w:t>và các văn bản sửa đổi, bổ sung (nếu có).</w:t>
            </w:r>
          </w:p>
        </w:tc>
        <w:tc>
          <w:tcPr>
            <w:tcW w:w="29" w:type="dxa"/>
            <w:tcBorders/>
          </w:tcPr>
          <w:p>
            <w:pPr>
              <w:pStyle w:val="Normal"/>
              <w:rPr/>
            </w:pPr>
            <w:r>
              <w:rPr/>
            </w:r>
          </w:p>
        </w:tc>
      </w:tr>
      <w:tr>
        <w:trPr>
          <w:trHeight w:val="240" w:hRule="atLeast"/>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7"/>
              </w:numPr>
              <w:tabs>
                <w:tab w:val="clear" w:pos="720"/>
                <w:tab w:val="left" w:pos="368" w:leader="none"/>
              </w:tabs>
              <w:jc w:val="both"/>
              <w:rPr>
                <w:i/>
                <w:i/>
                <w:lang w:val="de-DE"/>
              </w:rPr>
            </w:pPr>
            <w:r>
              <w:rPr>
                <w:i/>
                <w:lang w:val="de-DE"/>
              </w:rPr>
              <w:t xml:space="preserve">Thời </w:t>
            </w:r>
            <w:r>
              <w:rPr>
                <w:i/>
                <w:spacing w:val="-4"/>
              </w:rPr>
              <w:t>hạn</w:t>
            </w:r>
            <w:r>
              <w:rPr>
                <w:i/>
                <w:lang w:val="de-DE"/>
              </w:rPr>
              <w:t xml:space="preserve"> bảo đảm: </w:t>
            </w:r>
            <w:r>
              <w:rPr>
                <w:i/>
                <w:lang w:val="es-ES"/>
              </w:rPr>
              <w:t xml:space="preserve">Việc thế chấp </w:t>
            </w:r>
            <w:r>
              <w:rPr>
                <w:i/>
              </w:rPr>
              <w:t xml:space="preserve">quyền </w:t>
            </w:r>
            <w:r>
              <w:rPr>
                <w:i/>
                <w:lang w:val="es-ES"/>
              </w:rPr>
              <w:t xml:space="preserve">hưởng lợi đối với nguồn thu từ Hối phiếu kèm Bộ Chứng Từ đề nghị chiết khấu có hiệu lực kể từ thời điểm các bên ký kết </w:t>
            </w:r>
            <w:r>
              <w:rPr>
                <w:i/>
                <w:lang w:val="de-DE"/>
              </w:rPr>
              <w:t>Giấy đề nghị chiết khấu kiêm Phụ lục Hợp đồng</w:t>
            </w:r>
            <w:r>
              <w:rPr>
                <w:i/>
              </w:rPr>
              <w:t xml:space="preserve"> này</w:t>
            </w:r>
            <w:r>
              <w:rPr>
                <w:i/>
                <w:lang w:val="es-ES"/>
              </w:rPr>
              <w:t xml:space="preserve"> hoặc một thời điểm khác nếu pháp luật có quy định cụ thể và chấm dứt khi đáp ứng đồng thời và đầy đủ tất cả các điều kiện sau:</w:t>
            </w:r>
          </w:p>
          <w:p>
            <w:pPr>
              <w:pStyle w:val="ListParagraph"/>
              <w:numPr>
                <w:ilvl w:val="2"/>
                <w:numId w:val="9"/>
              </w:numPr>
              <w:tabs>
                <w:tab w:val="clear" w:pos="720"/>
                <w:tab w:val="left" w:pos="378" w:leader="none"/>
                <w:tab w:val="left" w:pos="780" w:leader="none"/>
              </w:tabs>
              <w:spacing w:lineRule="auto" w:line="264"/>
              <w:ind w:hanging="360" w:left="780"/>
              <w:jc w:val="both"/>
              <w:rPr>
                <w:i/>
                <w:i/>
                <w:lang w:val="es-ES"/>
              </w:rPr>
            </w:pPr>
            <w:r>
              <w:rPr>
                <w:i/>
                <w:lang w:val="es-ES"/>
              </w:rPr>
              <w:t xml:space="preserve">Toàn bộ nghĩa vụ được bảo đảm quy định tại Điểm 2, Phần B của </w:t>
            </w:r>
            <w:r>
              <w:rPr>
                <w:i/>
                <w:lang w:val="de-DE"/>
              </w:rPr>
              <w:t>Giấy đề nghị chiết khấu kiêm Phụ lục Hợp đồng này</w:t>
            </w:r>
            <w:r>
              <w:rPr>
                <w:i/>
                <w:lang w:val="es-ES"/>
              </w:rPr>
              <w:t xml:space="preserve"> đã được thực hiện xong; và</w:t>
            </w:r>
          </w:p>
          <w:p>
            <w:pPr>
              <w:pStyle w:val="ListParagraph"/>
              <w:numPr>
                <w:ilvl w:val="2"/>
                <w:numId w:val="9"/>
              </w:numPr>
              <w:tabs>
                <w:tab w:val="clear" w:pos="720"/>
                <w:tab w:val="left" w:pos="378" w:leader="none"/>
                <w:tab w:val="left" w:pos="780" w:leader="none"/>
              </w:tabs>
              <w:spacing w:lineRule="auto" w:line="264"/>
              <w:ind w:hanging="360" w:left="780"/>
              <w:jc w:val="both"/>
              <w:rPr>
                <w:i/>
                <w:i/>
                <w:lang w:val="es-ES"/>
              </w:rPr>
            </w:pPr>
            <w:r>
              <w:rPr>
                <w:i/>
                <w:lang w:val="es-ES"/>
              </w:rPr>
              <w:t>Các bên hoàn tất các thủ tục xóa đăng ký biện pháp bảo đảm.</w:t>
            </w:r>
          </w:p>
          <w:p>
            <w:pPr>
              <w:pStyle w:val="Normal"/>
              <w:ind w:left="780"/>
              <w:jc w:val="both"/>
              <w:rPr>
                <w:i/>
                <w:i/>
                <w:lang w:val="de-DE"/>
              </w:rPr>
            </w:pPr>
            <w:r>
              <w:rPr>
                <w:i/>
                <w:lang w:val="es-ES"/>
              </w:rPr>
              <w:t xml:space="preserve">Trong thời hạn bảo đảm, nếu nghĩa vụ được bảo đảm không phát sinh tại một thời điểm hoặc trong một khoảng thời gian bất kỳ nhưng sau đó nghĩa vụ được bảo đảm tiếp tục phát sinh, biện pháp bảo đảm luôn được duy trì liên tục và có hiệu lực cho đến khi </w:t>
            </w:r>
            <w:r>
              <w:rPr>
                <w:i/>
                <w:lang w:val="de-DE"/>
              </w:rPr>
              <w:t>Giấy đề nghị chiết khấu kiêm Phụ lục Hợp đồng</w:t>
            </w:r>
            <w:r>
              <w:rPr>
                <w:i/>
                <w:lang w:val="es-ES"/>
              </w:rPr>
              <w:t xml:space="preserve"> này hết hiệu lực.</w:t>
            </w:r>
          </w:p>
        </w:tc>
        <w:tc>
          <w:tcPr>
            <w:tcW w:w="29" w:type="dxa"/>
            <w:tcBorders/>
          </w:tcPr>
          <w:p>
            <w:pPr>
              <w:pStyle w:val="Normal"/>
              <w:rPr/>
            </w:pPr>
            <w:r>
              <w:rPr/>
            </w:r>
          </w:p>
        </w:tc>
      </w:tr>
      <w:tr>
        <w:trPr>
          <w:trHeight w:val="240" w:hRule="atLeast"/>
        </w:trPr>
        <w:tc>
          <w:tcPr>
            <w:tcW w:w="10207" w:type="dxa"/>
            <w:gridSpan w:val="9"/>
            <w:tcBorders>
              <w:top w:val="dotted" w:sz="4" w:space="0" w:color="000000"/>
              <w:left w:val="single" w:sz="4" w:space="0" w:color="000000"/>
              <w:bottom w:val="single" w:sz="4" w:space="0" w:color="000000"/>
              <w:right w:val="single" w:sz="4" w:space="0" w:color="000000"/>
            </w:tcBorders>
          </w:tcPr>
          <w:p>
            <w:pPr>
              <w:pStyle w:val="Normal"/>
              <w:numPr>
                <w:ilvl w:val="0"/>
                <w:numId w:val="7"/>
              </w:numPr>
              <w:tabs>
                <w:tab w:val="clear" w:pos="720"/>
                <w:tab w:val="left" w:pos="368" w:leader="none"/>
              </w:tabs>
              <w:jc w:val="both"/>
              <w:rPr>
                <w:i/>
                <w:i/>
                <w:spacing w:val="-4"/>
                <w:lang w:val="de-DE"/>
              </w:rPr>
            </w:pPr>
            <w:r>
              <w:rPr>
                <w:i/>
                <w:lang w:val="de-DE"/>
              </w:rPr>
              <w:t>Xử lý tài sản thế chấp</w:t>
            </w:r>
          </w:p>
          <w:p>
            <w:pPr>
              <w:pStyle w:val="ListParagraph"/>
              <w:numPr>
                <w:ilvl w:val="2"/>
                <w:numId w:val="10"/>
              </w:numPr>
              <w:tabs>
                <w:tab w:val="clear" w:pos="720"/>
                <w:tab w:val="left" w:pos="378" w:leader="none"/>
                <w:tab w:val="left" w:pos="780" w:leader="none"/>
              </w:tabs>
              <w:spacing w:lineRule="auto" w:line="264"/>
              <w:ind w:hanging="360" w:left="780"/>
              <w:jc w:val="both"/>
              <w:rPr>
                <w:i/>
                <w:i/>
                <w:lang w:val="es-ES"/>
              </w:rPr>
            </w:pPr>
            <w:r>
              <w:rPr>
                <w:i/>
                <w:spacing w:val="-4"/>
                <w:lang w:val="de-DE"/>
              </w:rPr>
              <w:t xml:space="preserve">Các </w:t>
            </w:r>
            <w:r>
              <w:rPr>
                <w:i/>
                <w:lang w:val="es-ES"/>
              </w:rPr>
              <w:t>trường</w:t>
            </w:r>
            <w:r>
              <w:rPr>
                <w:i/>
                <w:spacing w:val="-4"/>
                <w:lang w:val="de-DE"/>
              </w:rPr>
              <w:t xml:space="preserve"> hợp xử lý tài sản thế chấp: Ngân Hàng</w:t>
            </w:r>
            <w:r>
              <w:rPr>
                <w:i/>
                <w:lang w:val="es-ES"/>
              </w:rPr>
              <w:t xml:space="preserve"> có quyền xử lý tài sản thế chấp khi xảy ra một trong các sự kiện sau:</w:t>
            </w:r>
          </w:p>
          <w:p>
            <w:pPr>
              <w:pStyle w:val="Normal"/>
              <w:tabs>
                <w:tab w:val="clear" w:pos="720"/>
                <w:tab w:val="left" w:pos="1590" w:leader="none"/>
              </w:tabs>
              <w:ind w:hanging="360" w:left="1140"/>
              <w:jc w:val="both"/>
              <w:rPr>
                <w:i/>
                <w:i/>
                <w:lang w:val="es-ES"/>
              </w:rPr>
            </w:pPr>
            <w:r>
              <w:rPr>
                <w:i/>
                <w:lang w:val="es-ES"/>
              </w:rPr>
              <w:t xml:space="preserve">(a.1)Khách Hàng không thực hiện kịp thời, đầy đủ nghĩa vụ được bảo đảm khi đến hạn (thời điểm đến hạn theo quy định tại </w:t>
            </w:r>
            <w:r>
              <w:rPr>
                <w:i/>
                <w:lang w:val="de-DE"/>
              </w:rPr>
              <w:t>Giấy đề nghị chiết khấu kiêm Phụ lục Hợp đồng</w:t>
            </w:r>
            <w:r>
              <w:rPr>
                <w:i/>
                <w:lang w:val="es-ES"/>
              </w:rPr>
              <w:t xml:space="preserve"> này </w:t>
            </w:r>
            <w:r>
              <w:rPr>
                <w:i/>
                <w:spacing w:val="-4"/>
                <w:lang w:val="de-DE"/>
              </w:rPr>
              <w:t>hoặc</w:t>
            </w:r>
            <w:r>
              <w:rPr>
                <w:i/>
                <w:lang w:val="es-ES"/>
              </w:rPr>
              <w:t xml:space="preserve"> thời điểm mà Ngân Hàng ấn định trong văn bản yêu cầu thực hiện nghĩa vụ trước thời hạn do Khách Hàng vi phạm quy định tại </w:t>
            </w:r>
            <w:r>
              <w:rPr>
                <w:i/>
                <w:lang w:val="de-DE"/>
              </w:rPr>
              <w:t>Giấy đề nghị chiết khấu kiêm Phụ lục Hợp đồng</w:t>
            </w:r>
            <w:r>
              <w:rPr>
                <w:i/>
                <w:lang w:val="es-ES"/>
              </w:rPr>
              <w:t xml:space="preserve"> này.</w:t>
            </w:r>
          </w:p>
          <w:p>
            <w:pPr>
              <w:pStyle w:val="Normal"/>
              <w:tabs>
                <w:tab w:val="clear" w:pos="720"/>
                <w:tab w:val="left" w:pos="1590" w:leader="none"/>
              </w:tabs>
              <w:ind w:hanging="360" w:left="1140"/>
              <w:jc w:val="both"/>
              <w:rPr>
                <w:i/>
                <w:i/>
                <w:lang w:val="es-ES"/>
              </w:rPr>
            </w:pPr>
            <w:r>
              <w:rPr>
                <w:i/>
                <w:lang w:val="es-ES"/>
              </w:rPr>
              <w:t xml:space="preserve">(a.2) Bất cứ cam đoan, bảo đảm nào của Khách Hàng đưa ra tại </w:t>
            </w:r>
            <w:r>
              <w:rPr>
                <w:i/>
                <w:lang w:val="de-DE"/>
              </w:rPr>
              <w:t>Giấy đề nghị chiết khấu kiêm Phụ lục Hợp đồng</w:t>
            </w:r>
            <w:r>
              <w:rPr>
                <w:i/>
                <w:lang w:val="es-ES"/>
              </w:rPr>
              <w:t xml:space="preserve"> này được phát hiện là không đúng hoặc không được Khách Hàng thực hiện đúng.</w:t>
            </w:r>
          </w:p>
          <w:p>
            <w:pPr>
              <w:pStyle w:val="Normal"/>
              <w:tabs>
                <w:tab w:val="clear" w:pos="720"/>
                <w:tab w:val="left" w:pos="1590" w:leader="none"/>
              </w:tabs>
              <w:ind w:hanging="360" w:left="1140"/>
              <w:jc w:val="both"/>
              <w:rPr>
                <w:i/>
                <w:i/>
                <w:lang w:val="es-ES"/>
              </w:rPr>
            </w:pPr>
            <w:r>
              <w:rPr>
                <w:i/>
                <w:lang w:val="es-ES"/>
              </w:rPr>
              <w:t>(a.3) Pháp luật quy định tài sản thế chấp phải được xử lý để bảo đảm thực hiện nghĩa vụ khác.</w:t>
            </w:r>
          </w:p>
          <w:p>
            <w:pPr>
              <w:pStyle w:val="ListParagraph"/>
              <w:numPr>
                <w:ilvl w:val="2"/>
                <w:numId w:val="10"/>
              </w:numPr>
              <w:tabs>
                <w:tab w:val="clear" w:pos="720"/>
                <w:tab w:val="left" w:pos="378" w:leader="none"/>
                <w:tab w:val="left" w:pos="780" w:leader="none"/>
              </w:tabs>
              <w:spacing w:lineRule="auto" w:line="264"/>
              <w:ind w:hanging="360" w:left="780"/>
              <w:jc w:val="both"/>
              <w:rPr>
                <w:i/>
                <w:i/>
                <w:lang w:val="es-ES"/>
              </w:rPr>
            </w:pPr>
            <w:r>
              <w:rPr>
                <w:i/>
                <w:lang w:val="es-ES"/>
              </w:rPr>
              <w:t xml:space="preserve">Nguyên </w:t>
            </w:r>
            <w:r>
              <w:rPr>
                <w:i/>
                <w:spacing w:val="-4"/>
                <w:lang w:val="de-DE"/>
              </w:rPr>
              <w:t>tắc xử lý tài sản thế chấp</w:t>
            </w:r>
          </w:p>
          <w:p>
            <w:pPr>
              <w:pStyle w:val="Normal"/>
              <w:tabs>
                <w:tab w:val="clear" w:pos="720"/>
                <w:tab w:val="left" w:pos="1590" w:leader="none"/>
              </w:tabs>
              <w:ind w:hanging="360" w:left="1140"/>
              <w:jc w:val="both"/>
              <w:rPr>
                <w:i/>
                <w:i/>
                <w:lang w:val="es-ES"/>
              </w:rPr>
            </w:pPr>
            <w:r>
              <w:rPr>
                <w:i/>
                <w:lang w:val="es-ES"/>
              </w:rPr>
              <w:t xml:space="preserve">(b.1) Tài sản thế chấp được xử lý theo thoả thuận tại </w:t>
            </w:r>
            <w:r>
              <w:rPr>
                <w:i/>
                <w:lang w:val="de-DE"/>
              </w:rPr>
              <w:t>Giấy đề nghị chiết khấu kiêm Phụ lục Hợp đồng</w:t>
            </w:r>
            <w:r>
              <w:rPr>
                <w:i/>
                <w:lang w:val="es-ES"/>
              </w:rPr>
              <w:t xml:space="preserve"> này, trừ trường hợp các bên có thoả thuận khác bằng văn bản;</w:t>
            </w:r>
          </w:p>
          <w:p>
            <w:pPr>
              <w:pStyle w:val="Normal"/>
              <w:tabs>
                <w:tab w:val="clear" w:pos="720"/>
                <w:tab w:val="left" w:pos="1590" w:leader="none"/>
              </w:tabs>
              <w:ind w:hanging="360" w:left="1140"/>
              <w:jc w:val="both"/>
              <w:rPr>
                <w:i/>
                <w:i/>
                <w:lang w:val="es-ES"/>
              </w:rPr>
            </w:pPr>
            <w:r>
              <w:rPr>
                <w:i/>
                <w:lang w:val="es-ES"/>
              </w:rPr>
              <w:t xml:space="preserve">(b.2) Ngân Hàng có quyền trực tiếp xử lý tài sản thế chấp hoặc uỷ quyền/giao cho Tổ chức/Cá nhân khác xử lý tài sản thế chấp phù hợp với quy định của pháp luật; </w:t>
            </w:r>
          </w:p>
          <w:p>
            <w:pPr>
              <w:pStyle w:val="Normal"/>
              <w:tabs>
                <w:tab w:val="clear" w:pos="720"/>
                <w:tab w:val="left" w:pos="1590" w:leader="none"/>
              </w:tabs>
              <w:ind w:hanging="360" w:left="1140"/>
              <w:jc w:val="both"/>
              <w:rPr>
                <w:i/>
                <w:i/>
                <w:lang w:val="es-ES"/>
              </w:rPr>
            </w:pPr>
            <w:r>
              <w:rPr>
                <w:i/>
                <w:lang w:val="es-ES"/>
              </w:rPr>
              <w:t xml:space="preserve">(b.3) Ngân Hàng được quyền tiến hành xử lý tài sản thế chấp khi xảy ra một trong các sự kiện theo quy định tại Điểm 4(a), Phần B của </w:t>
            </w:r>
            <w:r>
              <w:rPr>
                <w:i/>
                <w:lang w:val="de-DE"/>
              </w:rPr>
              <w:t>Giấy đề nghị chiết khấu kiêm Phụ lục Hợp đồng</w:t>
            </w:r>
            <w:r>
              <w:rPr>
                <w:i/>
                <w:lang w:val="es-ES"/>
              </w:rPr>
              <w:t xml:space="preserve"> này mà không cần sự đồng ý hoặc uỷ quyền của Khách Hàng tại thời điểm xử lý;</w:t>
            </w:r>
          </w:p>
          <w:p>
            <w:pPr>
              <w:pStyle w:val="Normal"/>
              <w:tabs>
                <w:tab w:val="clear" w:pos="720"/>
                <w:tab w:val="left" w:pos="1590" w:leader="none"/>
              </w:tabs>
              <w:ind w:hanging="360" w:left="1140"/>
              <w:jc w:val="both"/>
              <w:rPr>
                <w:i/>
                <w:i/>
                <w:lang w:val="es-ES"/>
              </w:rPr>
            </w:pPr>
            <w:r>
              <w:rPr>
                <w:i/>
                <w:lang w:val="es-ES"/>
              </w:rPr>
              <w:t xml:space="preserve">(b.4) Ngân Hàng có quyền lựa chọn xử lý đồng thời tất cả hoặc bất kỳ các tài sản thế chấp và tài sản bảo đảm khác của bên thứ ba và/hoặc biện pháp bảo đảm nào khác theo thứ tự do Khách Hàng toàn quyền quyết định khi phát sinh một và/hoặc các trường hợp xử lý tài sản thế chấp nêu tại Điểm 4(a), Phần B của </w:t>
            </w:r>
            <w:r>
              <w:rPr>
                <w:i/>
                <w:lang w:val="de-DE"/>
              </w:rPr>
              <w:t>Giấy đề nghị chiết khấu kiêm Phụ lục Hợp đồng</w:t>
            </w:r>
            <w:r>
              <w:rPr>
                <w:i/>
                <w:lang w:val="es-ES"/>
              </w:rPr>
              <w:t xml:space="preserve"> này;</w:t>
            </w:r>
          </w:p>
          <w:p>
            <w:pPr>
              <w:pStyle w:val="Normal"/>
              <w:tabs>
                <w:tab w:val="clear" w:pos="720"/>
                <w:tab w:val="left" w:pos="1590" w:leader="none"/>
              </w:tabs>
              <w:ind w:hanging="360" w:left="1140"/>
              <w:jc w:val="both"/>
              <w:rPr>
                <w:i/>
                <w:i/>
                <w:lang w:val="es-ES"/>
              </w:rPr>
            </w:pPr>
            <w:r>
              <w:rPr>
                <w:i/>
                <w:lang w:val="es-ES"/>
              </w:rPr>
              <w:t>(b.5) Các nguyên tắc xử lý tài sản thế chấp khác theo quy định của pháp luật tại thời điểm xử lý.</w:t>
            </w:r>
          </w:p>
          <w:p>
            <w:pPr>
              <w:pStyle w:val="ListParagraph"/>
              <w:numPr>
                <w:ilvl w:val="2"/>
                <w:numId w:val="10"/>
              </w:numPr>
              <w:tabs>
                <w:tab w:val="clear" w:pos="720"/>
                <w:tab w:val="left" w:pos="378" w:leader="none"/>
                <w:tab w:val="left" w:pos="780" w:leader="none"/>
              </w:tabs>
              <w:spacing w:lineRule="auto" w:line="264"/>
              <w:ind w:hanging="360" w:left="780"/>
              <w:jc w:val="both"/>
              <w:rPr>
                <w:i/>
                <w:i/>
                <w:lang w:val="es-ES"/>
              </w:rPr>
            </w:pPr>
            <w:r>
              <w:rPr>
                <w:i/>
                <w:lang w:val="es-ES"/>
              </w:rPr>
              <w:t>Phương thức xử lý tài sản thế chấp</w:t>
            </w:r>
          </w:p>
          <w:p>
            <w:pPr>
              <w:pStyle w:val="Normal"/>
              <w:ind w:hanging="71" w:left="780"/>
              <w:jc w:val="both"/>
              <w:rPr>
                <w:i/>
                <w:i/>
                <w:color w:val="000000"/>
                <w:lang w:val="es-ES"/>
              </w:rPr>
            </w:pPr>
            <w:r>
              <w:rPr>
                <w:b/>
                <w:bCs/>
                <w:i/>
                <w:lang w:val="es-ES"/>
              </w:rPr>
              <w:tab/>
            </w:r>
            <w:r>
              <w:rPr>
                <w:i/>
                <w:color w:val="000000"/>
                <w:lang w:val="es-ES"/>
              </w:rPr>
              <w:t xml:space="preserve">Trước khi </w:t>
            </w:r>
            <w:r>
              <w:rPr>
                <w:i/>
                <w:lang w:val="es-ES"/>
              </w:rPr>
              <w:t>xử</w:t>
            </w:r>
            <w:r>
              <w:rPr>
                <w:i/>
                <w:color w:val="000000"/>
                <w:lang w:val="es-ES"/>
              </w:rPr>
              <w:t xml:space="preserve"> lý tài sản thế chấp, Ngân Hàng thông báo bằng văn bản về việc xử lý tài sản thế chấp trong thời hạn 07 ngày hoặc một thời hạn dài hơn được ấn định trong Thông báo xử lý tài sản thế chấp cho Khách hàng (theo địa chỉ của Khách Hàng nêu tại Phần A </w:t>
            </w:r>
            <w:r>
              <w:rPr>
                <w:i/>
                <w:lang w:val="de-DE"/>
              </w:rPr>
              <w:t>Giấy đề nghị chiết khấu kiêm Phụ lục Hợp đồng</w:t>
            </w:r>
            <w:r>
              <w:rPr>
                <w:i/>
                <w:lang w:val="es-ES"/>
              </w:rPr>
              <w:t xml:space="preserve"> này</w:t>
            </w:r>
            <w:r>
              <w:rPr>
                <w:i/>
                <w:color w:val="000000"/>
                <w:lang w:val="es-ES"/>
              </w:rPr>
              <w:t xml:space="preserve"> hoặc địa chỉ do Khách Hàng cung cấp) và đăng ký Thông báo xử lý tài sản thế chấp tại Cơ quan có thẩm quyền (nếu có yêu cầu theo quy định của pháp luật). Trường hợp Khách Hàng thay đổi địa chỉ mà không thông báo cho Ngân Hàng biết thì địa chỉ của Khách Hàng được xác định theo địa chỉ đã được Khách Hàng cung cấp trước đó theo </w:t>
            </w:r>
            <w:r>
              <w:rPr>
                <w:i/>
                <w:lang w:val="de-DE"/>
              </w:rPr>
              <w:t>Giấy đề nghị chiết khấu kiêm Phụ lục Hợp đồng</w:t>
            </w:r>
            <w:r>
              <w:rPr>
                <w:i/>
                <w:lang w:val="es-ES"/>
              </w:rPr>
              <w:t xml:space="preserve"> này</w:t>
            </w:r>
            <w:r>
              <w:rPr>
                <w:i/>
                <w:color w:val="000000"/>
                <w:lang w:val="es-ES"/>
              </w:rPr>
              <w:t xml:space="preserve">. </w:t>
            </w:r>
          </w:p>
          <w:p>
            <w:pPr>
              <w:pStyle w:val="Normal"/>
              <w:ind w:hanging="71" w:left="780"/>
              <w:jc w:val="both"/>
              <w:rPr>
                <w:i/>
                <w:i/>
                <w:lang w:val="es-ES"/>
              </w:rPr>
            </w:pPr>
            <w:r>
              <w:rPr>
                <w:bCs/>
                <w:i/>
                <w:lang w:val="es-ES"/>
              </w:rPr>
              <w:tab/>
            </w:r>
            <w:r>
              <w:rPr>
                <w:i/>
                <w:lang w:val="es-ES"/>
              </w:rPr>
              <w:t xml:space="preserve">Ngay sau khi phát sinh các sự kiện theo quy định tại Điểm 4(a), Phần B của </w:t>
            </w:r>
            <w:r>
              <w:rPr>
                <w:i/>
                <w:lang w:val="de-DE"/>
              </w:rPr>
              <w:t xml:space="preserve">Giấy đề nghị chiết khấu kiêm Phụ </w:t>
            </w:r>
            <w:r>
              <w:rPr>
                <w:i/>
                <w:color w:val="000000"/>
                <w:lang w:val="es-ES"/>
              </w:rPr>
              <w:t>lục</w:t>
            </w:r>
            <w:r>
              <w:rPr>
                <w:i/>
                <w:lang w:val="de-DE"/>
              </w:rPr>
              <w:t xml:space="preserve"> Hợp đồng</w:t>
            </w:r>
            <w:r>
              <w:rPr>
                <w:i/>
                <w:lang w:val="es-ES"/>
              </w:rPr>
              <w:t xml:space="preserve"> này, Khách Hàng đồng ý rằng Ngân Hàng sau khi Thông báo xử lý tài sản thế chấp, được toàn quyền lựa chọn một hoặc đồng thời nhiều phương thức xử lý tài sản thế chấp sau:</w:t>
            </w:r>
          </w:p>
          <w:p>
            <w:pPr>
              <w:pStyle w:val="Normal"/>
              <w:tabs>
                <w:tab w:val="clear" w:pos="720"/>
                <w:tab w:val="left" w:pos="1590" w:leader="none"/>
              </w:tabs>
              <w:ind w:hanging="360" w:left="1140"/>
              <w:jc w:val="both"/>
              <w:rPr>
                <w:i/>
                <w:i/>
                <w:lang w:val="es-ES"/>
              </w:rPr>
            </w:pPr>
            <w:r>
              <w:rPr>
                <w:i/>
                <w:lang w:val="es-ES"/>
              </w:rPr>
              <w:t xml:space="preserve">(c.1) Yêu cầu Bên Có Nghĩa </w:t>
            </w:r>
            <w:r>
              <w:rPr>
                <w:i/>
                <w:color w:val="000000"/>
                <w:lang w:val="es-ES"/>
              </w:rPr>
              <w:t>Vụ</w:t>
            </w:r>
            <w:r>
              <w:rPr>
                <w:i/>
                <w:lang w:val="es-ES"/>
              </w:rPr>
              <w:t xml:space="preserve"> theo Hối phiếu kèm Bộ Chứng Từ thực hiện nghĩa vụ thanh toán và nhận tiền thu được theo yêu cầu; </w:t>
            </w:r>
          </w:p>
          <w:p>
            <w:pPr>
              <w:pStyle w:val="Normal"/>
              <w:tabs>
                <w:tab w:val="clear" w:pos="720"/>
                <w:tab w:val="left" w:pos="1590" w:leader="none"/>
              </w:tabs>
              <w:ind w:hanging="360" w:left="1140"/>
              <w:jc w:val="both"/>
              <w:rPr>
                <w:i/>
                <w:i/>
                <w:lang w:val="es-ES"/>
              </w:rPr>
            </w:pPr>
            <w:r>
              <w:rPr>
                <w:i/>
                <w:lang w:val="es-ES"/>
              </w:rPr>
              <w:t xml:space="preserve">(c.2) Trực tiếp chuyển nhượng tài sản thế chấp cho bất cứ bên thứ ba nào;  </w:t>
            </w:r>
          </w:p>
          <w:p>
            <w:pPr>
              <w:pStyle w:val="Normal"/>
              <w:tabs>
                <w:tab w:val="clear" w:pos="720"/>
                <w:tab w:val="left" w:pos="1590" w:leader="none"/>
              </w:tabs>
              <w:ind w:hanging="360" w:left="1140"/>
              <w:jc w:val="both"/>
              <w:rPr>
                <w:i/>
                <w:i/>
                <w:lang w:val="es-ES"/>
              </w:rPr>
            </w:pPr>
            <w:r>
              <w:rPr>
                <w:i/>
                <w:lang w:val="es-ES"/>
              </w:rPr>
              <w:t xml:space="preserve">(c.3) Ngân Hàng nhận chính tài sản thế chấp để thay thế cho việc thực hiện một phần hoặc toàn bộ nghĩa vụ được bảo đảm quy định tại Điểm 2, Phần B của </w:t>
            </w:r>
            <w:r>
              <w:rPr>
                <w:i/>
                <w:lang w:val="de-DE"/>
              </w:rPr>
              <w:t xml:space="preserve">Giấy đề nghị chiết khấu kiêm Phụ </w:t>
            </w:r>
            <w:r>
              <w:rPr>
                <w:i/>
                <w:color w:val="000000"/>
                <w:lang w:val="es-ES"/>
              </w:rPr>
              <w:t>lục</w:t>
            </w:r>
            <w:r>
              <w:rPr>
                <w:i/>
                <w:lang w:val="de-DE"/>
              </w:rPr>
              <w:t xml:space="preserve"> Hợp đồng</w:t>
            </w:r>
            <w:r>
              <w:rPr>
                <w:i/>
                <w:lang w:val="es-ES"/>
              </w:rPr>
              <w:t xml:space="preserve"> này; </w:t>
            </w:r>
          </w:p>
          <w:p>
            <w:pPr>
              <w:pStyle w:val="Normal"/>
              <w:tabs>
                <w:tab w:val="clear" w:pos="720"/>
                <w:tab w:val="left" w:pos="1590" w:leader="none"/>
              </w:tabs>
              <w:ind w:hanging="360" w:left="1140"/>
              <w:jc w:val="both"/>
              <w:rPr>
                <w:i/>
                <w:i/>
                <w:lang w:val="es-ES"/>
              </w:rPr>
            </w:pPr>
            <w:r>
              <w:rPr>
                <w:i/>
                <w:lang w:val="es-ES"/>
              </w:rPr>
              <w:t>(c.4) Thực hiện tất cả các hành động khác trong phạm vi pháp luật cho phép và cần thiết nhằm cưỡng chế giao dịch thế chấp và xử lý tài sản thế chấp.</w:t>
            </w:r>
          </w:p>
          <w:p>
            <w:pPr>
              <w:pStyle w:val="ListParagraph"/>
              <w:numPr>
                <w:ilvl w:val="2"/>
                <w:numId w:val="10"/>
              </w:numPr>
              <w:tabs>
                <w:tab w:val="clear" w:pos="720"/>
                <w:tab w:val="left" w:pos="378" w:leader="none"/>
                <w:tab w:val="left" w:pos="780" w:leader="none"/>
              </w:tabs>
              <w:spacing w:lineRule="auto" w:line="264"/>
              <w:ind w:hanging="360" w:left="780"/>
              <w:jc w:val="both"/>
              <w:rPr>
                <w:i/>
                <w:i/>
                <w:lang w:val="es-ES"/>
              </w:rPr>
            </w:pPr>
            <w:r>
              <w:rPr>
                <w:i/>
                <w:lang w:val="es-ES"/>
              </w:rPr>
              <w:t>Chỉ định đại diện theo ủy quyền</w:t>
            </w:r>
          </w:p>
          <w:p>
            <w:pPr>
              <w:pStyle w:val="Normal"/>
              <w:ind w:hanging="71" w:left="780"/>
              <w:jc w:val="both"/>
              <w:rPr>
                <w:i/>
                <w:i/>
                <w:lang w:val="es-ES"/>
              </w:rPr>
            </w:pPr>
            <w:r>
              <w:rPr>
                <w:bCs/>
                <w:i/>
                <w:lang w:val="es-ES"/>
              </w:rPr>
              <w:tab/>
            </w:r>
            <w:r>
              <w:rPr>
                <w:i/>
                <w:lang w:val="es-ES"/>
              </w:rPr>
              <w:t xml:space="preserve">Khách Hàng theo </w:t>
            </w:r>
            <w:r>
              <w:rPr>
                <w:i/>
                <w:color w:val="000000"/>
                <w:lang w:val="es-ES"/>
              </w:rPr>
              <w:t>đây</w:t>
            </w:r>
            <w:r>
              <w:rPr>
                <w:i/>
                <w:lang w:val="es-ES"/>
              </w:rPr>
              <w:t xml:space="preserve"> chỉ định không huỷ ngang cho Giám đốc/Phó Giám đốc phụ trách Ngân hàng TMCP Công thương Việt Nam – Chi nhánh Huế hoặc Tổng Giám đốc Ngân hàng TMCP Công thương Việt Nam trong hoặc sau khi xử lý tài sản thế chấp được toàn quyền tiến hành bất kỳ hành động nào và ký kết bất kỳ văn bản nào cần thiết hoặc thích hợp để đạt được các mục đích xử lý tài sản thế chấp khi Ngân Hàng thực hiện quyền xử lý tài sản thế chấp.</w:t>
            </w:r>
          </w:p>
          <w:p>
            <w:pPr>
              <w:pStyle w:val="ListParagraph"/>
              <w:numPr>
                <w:ilvl w:val="2"/>
                <w:numId w:val="10"/>
              </w:numPr>
              <w:tabs>
                <w:tab w:val="clear" w:pos="720"/>
                <w:tab w:val="left" w:pos="378" w:leader="none"/>
                <w:tab w:val="left" w:pos="780" w:leader="none"/>
              </w:tabs>
              <w:spacing w:lineRule="auto" w:line="264"/>
              <w:ind w:hanging="360" w:left="780"/>
              <w:jc w:val="both"/>
              <w:rPr>
                <w:i/>
                <w:i/>
                <w:lang w:val="es-ES"/>
              </w:rPr>
            </w:pPr>
            <w:r>
              <w:rPr>
                <w:i/>
                <w:lang w:val="es-ES"/>
              </w:rPr>
              <w:t xml:space="preserve">Sử dụng </w:t>
            </w:r>
            <w:r>
              <w:rPr>
                <w:i/>
                <w:spacing w:val="-4"/>
                <w:lang w:val="de-DE"/>
              </w:rPr>
              <w:t>tiền</w:t>
            </w:r>
            <w:r>
              <w:rPr>
                <w:i/>
                <w:lang w:val="es-ES"/>
              </w:rPr>
              <w:t xml:space="preserve"> thu được từ việc xử lý tài sản thế chấp</w:t>
            </w:r>
          </w:p>
          <w:p>
            <w:pPr>
              <w:pStyle w:val="Normal"/>
              <w:tabs>
                <w:tab w:val="clear" w:pos="720"/>
                <w:tab w:val="left" w:pos="1590" w:leader="none"/>
              </w:tabs>
              <w:ind w:hanging="450" w:left="1230"/>
              <w:jc w:val="both"/>
              <w:rPr>
                <w:i/>
                <w:i/>
                <w:lang w:val="de-DE"/>
              </w:rPr>
            </w:pPr>
            <w:r>
              <w:rPr>
                <w:i/>
                <w:lang w:val="es-ES"/>
              </w:rPr>
              <w:t>(e.1)</w:t>
              <w:tab/>
              <w:t xml:space="preserve">Trừ trường hợp các bên có thoả thuận khác hoặc pháp luật có quy định khác, toàn bộ số tiền thu được từ việc xử lý tài sản thế chấp hoặc bất kỳ khoản tiền nào mà Ngân Hàng nhận được từ các Tổ chức/Cá nhân khác theo quy định tại </w:t>
            </w:r>
            <w:r>
              <w:rPr>
                <w:i/>
                <w:lang w:val="de-DE"/>
              </w:rPr>
              <w:t xml:space="preserve">Giấy đề nghị chiết khấu kiêm Phụ </w:t>
            </w:r>
            <w:r>
              <w:rPr>
                <w:i/>
                <w:color w:val="000000"/>
                <w:lang w:val="es-ES"/>
              </w:rPr>
              <w:t>lục</w:t>
            </w:r>
            <w:r>
              <w:rPr>
                <w:i/>
                <w:lang w:val="de-DE"/>
              </w:rPr>
              <w:t xml:space="preserve"> Hợp đồng</w:t>
            </w:r>
            <w:r>
              <w:rPr>
                <w:i/>
                <w:lang w:val="es-ES"/>
              </w:rPr>
              <w:t xml:space="preserve"> này sẽ được sử dụng để thanh toán cho các nghĩa vụ theo thứ tự mà pháp luật có quy định (nếu có) hoặc theo thứ tự do Ngân Hàng quyết định; </w:t>
            </w:r>
          </w:p>
          <w:p>
            <w:pPr>
              <w:pStyle w:val="Normal"/>
              <w:tabs>
                <w:tab w:val="clear" w:pos="720"/>
                <w:tab w:val="left" w:pos="1590" w:leader="none"/>
              </w:tabs>
              <w:ind w:hanging="450" w:left="1230"/>
              <w:jc w:val="both"/>
              <w:rPr>
                <w:i/>
                <w:i/>
                <w:lang w:val="es-ES"/>
              </w:rPr>
            </w:pPr>
            <w:r>
              <w:rPr>
                <w:i/>
                <w:lang w:val="es-ES"/>
              </w:rPr>
              <w:t xml:space="preserve">(e.2) Trường hợp số tiền thu được từ việc xử lý tài sản thế chấp sau khi trừ đi chi phí xử lý và nghĩa vụ tài chính với Ngân sách Nhà nước mà không đủ để thanh toán nghĩa vụ được bảo đảm quy định tại Điểm 2, Phần B của </w:t>
            </w:r>
            <w:r>
              <w:rPr>
                <w:i/>
                <w:lang w:val="de-DE"/>
              </w:rPr>
              <w:t>Giấy đề nghị chiết khấu kiêm Phụ lục Hợp đồng này</w:t>
            </w:r>
            <w:r>
              <w:rPr>
                <w:i/>
                <w:lang w:val="es-ES"/>
              </w:rPr>
              <w:t xml:space="preserve"> thì Khách Hàng tiếp tục có nghĩa vụ nợ và có trách nhiệm phải thanh toán phần còn thiếu đó.</w:t>
            </w:r>
          </w:p>
          <w:p>
            <w:pPr>
              <w:pStyle w:val="Normal"/>
              <w:tabs>
                <w:tab w:val="clear" w:pos="720"/>
                <w:tab w:val="left" w:pos="1590" w:leader="none"/>
              </w:tabs>
              <w:ind w:hanging="450" w:left="1230"/>
              <w:jc w:val="both"/>
              <w:rPr>
                <w:i/>
                <w:i/>
                <w:lang w:val="es-ES"/>
              </w:rPr>
            </w:pPr>
            <w:r>
              <w:rPr>
                <w:i/>
                <w:lang w:val="es-ES"/>
              </w:rPr>
              <w:t>(e.3)</w:t>
              <w:tab/>
              <w:t xml:space="preserve">Trường hợp số tiền thu được từ việc xử lý tài sản thế chấp sau khi thanh toán theo thứ tự nêu tại Điểm 4(e.1), Phần B của </w:t>
            </w:r>
            <w:r>
              <w:rPr>
                <w:i/>
                <w:lang w:val="de-DE"/>
              </w:rPr>
              <w:t>Giấy đề nghị chiết khấu kiêm Phụ lục Hợp đồng</w:t>
            </w:r>
            <w:r>
              <w:rPr>
                <w:i/>
                <w:lang w:val="es-ES"/>
              </w:rPr>
              <w:t xml:space="preserve"> này mà còn lại sẽ được trả lại cho Khách Hàng theo phương thức:</w:t>
            </w:r>
          </w:p>
          <w:p>
            <w:pPr>
              <w:pStyle w:val="Normal"/>
              <w:tabs>
                <w:tab w:val="clear" w:pos="720"/>
                <w:tab w:val="left" w:pos="1590" w:leader="none"/>
              </w:tabs>
              <w:ind w:hanging="450" w:left="1230"/>
              <w:jc w:val="both"/>
              <w:rPr>
                <w:i/>
                <w:i/>
                <w:lang w:val="es-ES"/>
              </w:rPr>
            </w:pPr>
            <w:r>
              <w:rPr>
                <w:b/>
                <w:i/>
                <w:lang w:val="es-ES"/>
              </w:rPr>
              <w:tab/>
            </w:r>
            <w:r>
              <w:rPr>
                <w:i/>
                <w:lang w:val="es-ES"/>
              </w:rPr>
              <w:t>(e.3.1) Chuyển trả lại cho Khách Hàng bằng tiền mặt (nếu Khách Hàng đến nhận) và/hoặc chuyển vào tài khoản thanh toán của Khách Hàng mở tại Ngân Hàng hoặc chuyển vào tài khoản thanh toán của Khách Hàng mở tại Ngân hàng khác (theo thông báo bằng văn bản của Khách Hàng) phù hợp quy định của pháp luật.</w:t>
            </w:r>
          </w:p>
          <w:p>
            <w:pPr>
              <w:pStyle w:val="Normal"/>
              <w:tabs>
                <w:tab w:val="clear" w:pos="720"/>
                <w:tab w:val="left" w:pos="1590" w:leader="none"/>
              </w:tabs>
              <w:ind w:hanging="450" w:left="1230"/>
              <w:jc w:val="both"/>
              <w:rPr>
                <w:i/>
                <w:i/>
                <w:lang w:val="de-DE"/>
              </w:rPr>
            </w:pPr>
            <w:r>
              <w:rPr>
                <w:b/>
                <w:i/>
                <w:lang w:val="es-ES"/>
              </w:rPr>
              <w:tab/>
            </w:r>
            <w:r>
              <w:rPr>
                <w:i/>
                <w:lang w:val="es-ES"/>
              </w:rPr>
              <w:t>(e.3.2</w:t>
            </w:r>
            <w:r>
              <w:rPr>
                <w:b/>
                <w:i/>
                <w:lang w:val="es-ES"/>
              </w:rPr>
              <w:t xml:space="preserve">) </w:t>
            </w:r>
            <w:r>
              <w:rPr>
                <w:i/>
                <w:lang w:val="es-ES"/>
              </w:rPr>
              <w:t>Trường hợp Khách Hàng không đến nhận số tiền còn lại và không có Tài khoản thanh toán tại Ngân Hàng hoặc Khách Hàng không có Thông báo yêu cầu chuyển vào tài khoản thanh toán mở tại Ngân hàng khác, Ngân Hàng sẽ giữ hộ số tiền này cho đến khi Khách Hàng đến nhận và Khách Hàng không được hưởng lãi trong thời gian giữ hộ và/hoặc số tiền còn lại sẽ được xử lý theo quy định của pháp luật.</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shd w:color="auto" w:fill="DBE5F1" w:themeFill="accent1" w:themeFillTint="33" w:val="clear"/>
          </w:tcPr>
          <w:p>
            <w:pPr>
              <w:pStyle w:val="ListParagraph"/>
              <w:numPr>
                <w:ilvl w:val="0"/>
                <w:numId w:val="1"/>
              </w:numPr>
              <w:jc w:val="center"/>
              <w:rPr>
                <w:i/>
                <w:i/>
                <w:lang w:val="de-DE"/>
              </w:rPr>
            </w:pPr>
            <w:r>
              <w:rPr>
                <w:b/>
                <w:i/>
                <w:sz w:val="22"/>
                <w:szCs w:val="22"/>
              </w:rPr>
              <w:t>CÁC THOẢ THUẬN KHÁC</w:t>
            </w:r>
          </w:p>
        </w:tc>
        <w:tc>
          <w:tcPr>
            <w:tcW w:w="29" w:type="dxa"/>
            <w:tcBorders/>
          </w:tcPr>
          <w:p>
            <w:pPr>
              <w:pStyle w:val="Normal"/>
              <w:rPr/>
            </w:pPr>
            <w:r>
              <w:rPr/>
            </w:r>
          </w:p>
        </w:tc>
      </w:tr>
      <w:tr>
        <w:trPr>
          <w:trHeight w:val="782" w:hRule="atLeast"/>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11"/>
              </w:numPr>
              <w:tabs>
                <w:tab w:val="clear" w:pos="720"/>
                <w:tab w:val="left" w:pos="368" w:leader="none"/>
              </w:tabs>
              <w:jc w:val="both"/>
              <w:rPr>
                <w:i/>
                <w:i/>
                <w:lang w:val="de-DE"/>
              </w:rPr>
            </w:pPr>
            <w:r>
              <w:rPr>
                <w:i/>
                <w:lang w:val="de-DE"/>
              </w:rPr>
              <w:t xml:space="preserve">Giấy đề </w:t>
            </w:r>
            <w:r>
              <w:rPr>
                <w:i/>
                <w:spacing w:val="-4"/>
              </w:rPr>
              <w:t>nghị</w:t>
            </w:r>
            <w:r>
              <w:rPr>
                <w:i/>
                <w:lang w:val="de-DE"/>
              </w:rPr>
              <w:t xml:space="preserve"> chiết khấu kiêm Phụ lục Hợp đồng này cùng các nội dung chấp thuận của </w:t>
            </w:r>
            <w:r>
              <w:rPr>
                <w:i/>
                <w:lang w:val="fr-FR"/>
              </w:rPr>
              <w:t>Ngân hàng</w:t>
            </w:r>
            <w:r>
              <w:rPr>
                <w:i/>
                <w:lang w:val="de-DE"/>
              </w:rPr>
              <w:t xml:space="preserve"> sẽ có giá trị ràng buộc quyền và nghĩa vụ của Khách hàng và </w:t>
            </w:r>
            <w:r>
              <w:rPr>
                <w:i/>
                <w:lang w:val="fr-FR"/>
              </w:rPr>
              <w:t>Ngân hàng</w:t>
            </w:r>
            <w:r>
              <w:rPr>
                <w:i/>
                <w:lang w:val="de-DE"/>
              </w:rPr>
              <w:t>, đồng thời là căn cứ pháp lý để giải quyết các tranh chấp phát sinh sau này (nếu có).</w:t>
            </w:r>
          </w:p>
        </w:tc>
        <w:tc>
          <w:tcPr>
            <w:tcW w:w="29" w:type="dxa"/>
            <w:tcBorders/>
          </w:tcPr>
          <w:p>
            <w:pPr>
              <w:pStyle w:val="Normal"/>
              <w:rPr/>
            </w:pPr>
            <w:r>
              <w:rPr/>
            </w:r>
          </w:p>
        </w:tc>
      </w:tr>
      <w:tr>
        <w:trPr>
          <w:trHeight w:val="782" w:hRule="atLeast"/>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11"/>
              </w:numPr>
              <w:tabs>
                <w:tab w:val="clear" w:pos="720"/>
                <w:tab w:val="left" w:pos="368" w:leader="none"/>
              </w:tabs>
              <w:jc w:val="both"/>
              <w:rPr>
                <w:i/>
                <w:i/>
                <w:lang w:val="de-DE"/>
              </w:rPr>
            </w:pPr>
            <w:r>
              <w:rPr>
                <w:i/>
                <w:lang w:val="de-DE"/>
              </w:rPr>
              <w:t>Ngân Hàng có quyền dừng chiết khấu Hối phiếu kèm Bộ Chứng Từ nếu có bất kỳ giao dịch chiết khấu nào quá thời hạn chiết khấu mà không được phía người mua/ngân hàng thanh toán và/hoặc không xuất trình đầy đủ chứng từ đúng hạn đã cam kết với Ngân Hàng và/hoặc tiền thanh toán Hối phiếu kèm Bộ Chứng Từ từ người mua/ngân hàng thanh toán không được chuyển trực tiếp về tài khoản của tôi/chúng tôi tại Ngân Hàng.</w:t>
            </w:r>
          </w:p>
        </w:tc>
        <w:tc>
          <w:tcPr>
            <w:tcW w:w="29" w:type="dxa"/>
            <w:tcBorders/>
          </w:tcPr>
          <w:p>
            <w:pPr>
              <w:pStyle w:val="Normal"/>
              <w:rPr/>
            </w:pPr>
            <w:r>
              <w:rPr/>
            </w:r>
          </w:p>
        </w:tc>
      </w:tr>
      <w:tr>
        <w:trPr>
          <w:trHeight w:val="782" w:hRule="atLeast"/>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11"/>
              </w:numPr>
              <w:tabs>
                <w:tab w:val="clear" w:pos="720"/>
                <w:tab w:val="left" w:pos="368" w:leader="none"/>
              </w:tabs>
              <w:jc w:val="both"/>
              <w:rPr>
                <w:i/>
                <w:i/>
                <w:lang w:val="de-DE"/>
              </w:rPr>
            </w:pPr>
            <w:r>
              <w:rPr>
                <w:i/>
                <w:lang w:val="de-DE"/>
              </w:rPr>
              <w:t xml:space="preserve">Giấy đề nghị </w:t>
            </w:r>
            <w:r>
              <w:rPr>
                <w:i/>
                <w:spacing w:val="-4"/>
              </w:rPr>
              <w:t>kiêm</w:t>
            </w:r>
            <w:r>
              <w:rPr>
                <w:i/>
                <w:lang w:val="de-DE"/>
              </w:rPr>
              <w:t xml:space="preserve"> Phụ lục Hợp đồng này có hiệu lực kể từ ngày Ngân Hàng chấp thuận chiết khấu cho đến khi Khách hàng trả hết số tiền Ngân hàng đã chiết khấu và lãi, lãi phạt quá hạn, phí phát sinh. Trường hợp Khách hàng thanh toán tiền chiết khấu trước hạn, Ngân Hàng được quyền thu phí theo thỏa thuận tại Hợp Đồng Chiết Khấu đã ký.</w:t>
            </w:r>
          </w:p>
        </w:tc>
        <w:tc>
          <w:tcPr>
            <w:tcW w:w="29" w:type="dxa"/>
            <w:tcBorders/>
          </w:tcPr>
          <w:p>
            <w:pPr>
              <w:pStyle w:val="Normal"/>
              <w:rPr/>
            </w:pPr>
            <w:r>
              <w:rPr/>
            </w:r>
          </w:p>
        </w:tc>
      </w:tr>
      <w:tr>
        <w:trPr>
          <w:trHeight w:val="782" w:hRule="atLeast"/>
        </w:trPr>
        <w:tc>
          <w:tcPr>
            <w:tcW w:w="10207" w:type="dxa"/>
            <w:gridSpan w:val="9"/>
            <w:tcBorders>
              <w:top w:val="dotted" w:sz="4" w:space="0" w:color="000000"/>
              <w:left w:val="single" w:sz="4" w:space="0" w:color="000000"/>
              <w:bottom w:val="dotted" w:sz="4" w:space="0" w:color="000000"/>
              <w:right w:val="single" w:sz="4" w:space="0" w:color="000000"/>
            </w:tcBorders>
          </w:tcPr>
          <w:p>
            <w:pPr>
              <w:pStyle w:val="Normal"/>
              <w:numPr>
                <w:ilvl w:val="0"/>
                <w:numId w:val="11"/>
              </w:numPr>
              <w:tabs>
                <w:tab w:val="clear" w:pos="720"/>
                <w:tab w:val="left" w:pos="368" w:leader="none"/>
              </w:tabs>
              <w:jc w:val="both"/>
              <w:rPr>
                <w:i/>
                <w:i/>
                <w:lang w:val="de-DE"/>
              </w:rPr>
            </w:pPr>
            <w:r>
              <w:rPr>
                <w:i/>
                <w:lang w:val="de-DE"/>
              </w:rPr>
              <w:t>Mọi tranh chấp phát sinh từ việc thực hiện Giấy đề nghị kiêm Phụ lục Hợp đồng này sẽ do hai bên thương lượng để có biện pháp giải quyết thích hợp. Trường hợp không đạt được sự thỏa thuận chung, việc tranh chấp sẽ được thực hiện theo Hợp Đồng Chiết Khấu đã ký</w:t>
            </w:r>
          </w:p>
        </w:tc>
        <w:tc>
          <w:tcPr>
            <w:tcW w:w="29" w:type="dxa"/>
            <w:tcBorders/>
          </w:tcPr>
          <w:p>
            <w:pPr>
              <w:pStyle w:val="Normal"/>
              <w:rPr/>
            </w:pPr>
            <w:r>
              <w:rPr/>
            </w:r>
          </w:p>
        </w:tc>
      </w:tr>
      <w:tr>
        <w:trPr/>
        <w:tc>
          <w:tcPr>
            <w:tcW w:w="10207" w:type="dxa"/>
            <w:gridSpan w:val="9"/>
            <w:tcBorders>
              <w:top w:val="dotted" w:sz="4" w:space="0" w:color="000000"/>
              <w:left w:val="single" w:sz="4" w:space="0" w:color="000000"/>
              <w:bottom w:val="single" w:sz="4" w:space="0" w:color="000000"/>
              <w:right w:val="single" w:sz="4" w:space="0" w:color="000000"/>
            </w:tcBorders>
          </w:tcPr>
          <w:p>
            <w:pPr>
              <w:pStyle w:val="Normal"/>
              <w:numPr>
                <w:ilvl w:val="0"/>
                <w:numId w:val="11"/>
              </w:numPr>
              <w:tabs>
                <w:tab w:val="clear" w:pos="720"/>
                <w:tab w:val="left" w:pos="368" w:leader="none"/>
              </w:tabs>
              <w:jc w:val="both"/>
              <w:rPr>
                <w:i/>
                <w:i/>
                <w:lang w:val="de-DE"/>
              </w:rPr>
            </w:pPr>
            <w:r>
              <w:rPr>
                <w:i/>
                <w:lang w:val="de-DE"/>
              </w:rPr>
              <w:t>Giấy đề nghị kiêm Phụ lục Hợp đồng này được lập thành hai (2) bản, có giá trị pháp lý như nhau, mỗi bên giữa một (1) bản. Giấy đề nghị kiêm Phụ lục Hợp đồng này là một bộ phận không tách rời với Hợp Đồng Chiết Khấu. Các nội dung không được quy định trong Giấy đề nghị kiêm Phụ lục Hợp đồng sẽ được thực hiện theo Hợp Đồng Chiết Khấu</w:t>
            </w:r>
          </w:p>
          <w:p>
            <w:pPr>
              <w:pStyle w:val="Normal"/>
              <w:numPr>
                <w:ilvl w:val="0"/>
                <w:numId w:val="11"/>
              </w:numPr>
              <w:tabs>
                <w:tab w:val="clear" w:pos="720"/>
                <w:tab w:val="left" w:pos="368" w:leader="none"/>
              </w:tabs>
              <w:jc w:val="both"/>
              <w:rPr>
                <w:i/>
                <w:i/>
                <w:lang w:val="de-DE"/>
              </w:rPr>
            </w:pPr>
            <w:r>
              <w:rPr>
                <w:i/>
                <w:lang w:val="de-DE"/>
              </w:rPr>
              <w:t>Trường hợp phu lục Hợp Đồng này được giao kết thông qua Phương tiện điện tử, Khách Hàng cam kết và bảo đảm chữ ký số của Khách Hàng sử dụng để giao kết phụ lục Hợp đồng này phù hợp với quy định của pháp luật về giao dịch điện tử và quy định của NHCTVN ban hành từng thời kỳ.</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shd w:color="auto" w:fill="DBE5F1" w:themeFill="accent1" w:themeFillTint="33" w:val="clear"/>
          </w:tcPr>
          <w:p>
            <w:pPr>
              <w:pStyle w:val="Normal"/>
              <w:numPr>
                <w:ilvl w:val="0"/>
                <w:numId w:val="1"/>
              </w:numPr>
              <w:ind w:hanging="446" w:left="259"/>
              <w:jc w:val="center"/>
              <w:rPr>
                <w:i/>
                <w:i/>
                <w:lang w:val="de-DE"/>
              </w:rPr>
            </w:pPr>
            <w:r>
              <w:rPr>
                <w:b/>
                <w:i/>
                <w:sz w:val="22"/>
                <w:szCs w:val="22"/>
                <w:lang w:val="de-DE"/>
              </w:rPr>
              <w:t>PHẦN DÀNH CHO NGÂN HÀNG</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tcPr>
          <w:p>
            <w:pPr>
              <w:pStyle w:val="Normal"/>
              <w:numPr>
                <w:ilvl w:val="0"/>
                <w:numId w:val="3"/>
              </w:numPr>
              <w:ind w:hanging="420" w:left="780"/>
              <w:rPr>
                <w:i/>
                <w:i/>
                <w:lang w:val="de-DE"/>
              </w:rPr>
            </w:pPr>
            <w:r>
              <w:rPr>
                <w:i/>
                <w:lang w:val="de-DE"/>
              </w:rPr>
              <w:t>Căn cứ Hợp Đồng Chiết Khấu 06/2026-HĐCK/NHCT460-3301549896 giao kết ngày 04/06/2026và các phụ lục kèm theo (nếu có).</w:t>
            </w:r>
          </w:p>
          <w:p>
            <w:pPr>
              <w:pStyle w:val="Normal"/>
              <w:numPr>
                <w:ilvl w:val="0"/>
                <w:numId w:val="3"/>
              </w:numPr>
              <w:ind w:hanging="420" w:left="780"/>
              <w:rPr>
                <w:i/>
                <w:i/>
                <w:lang w:val="de-DE"/>
              </w:rPr>
            </w:pPr>
            <w:r>
              <w:rPr>
                <w:i/>
                <w:lang w:val="de-DE"/>
              </w:rPr>
              <w:t>Căn cứ Quy định, quy trình chiết khấu Hối phiếu kèm Bộ Chứng Từ hiện hành của NH TMCPCTVN.</w:t>
            </w:r>
          </w:p>
          <w:p>
            <w:pPr>
              <w:pStyle w:val="Normal"/>
              <w:numPr>
                <w:ilvl w:val="0"/>
                <w:numId w:val="3"/>
              </w:numPr>
              <w:ind w:hanging="420" w:left="780"/>
              <w:rPr>
                <w:i/>
                <w:i/>
                <w:lang w:val="de-DE"/>
              </w:rPr>
            </w:pPr>
            <w:r>
              <w:rPr>
                <w:i/>
                <w:lang w:val="de-DE"/>
              </w:rPr>
              <w:t>Theo đề nghị chiết khấu của khách hàng tại Phần A và các thỏa thuận tại Phần B, C nêu trên.</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dotted" w:sz="4" w:space="0" w:color="000000"/>
              <w:right w:val="single" w:sz="4" w:space="0" w:color="000000"/>
            </w:tcBorders>
          </w:tcPr>
          <w:p>
            <w:pPr>
              <w:pStyle w:val="Normal"/>
              <w:ind w:left="284"/>
              <w:rPr>
                <w:i/>
                <w:i/>
                <w:lang w:val="de-DE"/>
              </w:rPr>
            </w:pPr>
            <w:r>
              <w:rPr>
                <w:i/>
                <w:lang w:val="de-DE"/>
              </w:rPr>
              <w:t>Ngân hàng TMCP Công thương Việt Nam, chi nhánh Huế</w:t>
            </w:r>
          </w:p>
        </w:tc>
        <w:tc>
          <w:tcPr>
            <w:tcW w:w="29" w:type="dxa"/>
            <w:tcBorders/>
          </w:tcPr>
          <w:p>
            <w:pPr>
              <w:pStyle w:val="Normal"/>
              <w:rPr/>
            </w:pPr>
            <w:r>
              <w:rPr/>
            </w:r>
          </w:p>
        </w:tc>
      </w:tr>
      <w:tr>
        <w:trPr/>
        <w:tc>
          <w:tcPr>
            <w:tcW w:w="2268" w:type="dxa"/>
            <w:tcBorders>
              <w:top w:val="dotted" w:sz="4" w:space="0" w:color="000000"/>
              <w:left w:val="single" w:sz="4" w:space="0" w:color="000000"/>
              <w:bottom w:val="dotted" w:sz="4" w:space="0" w:color="000000"/>
              <w:right w:val="dotted" w:sz="4" w:space="0" w:color="000000"/>
            </w:tcBorders>
          </w:tcPr>
          <w:p>
            <w:pPr>
              <w:pStyle w:val="Normal"/>
              <w:ind w:left="284"/>
              <w:rPr>
                <w:i/>
                <w:i/>
                <w:lang w:val="it-IT"/>
              </w:rPr>
            </w:pPr>
            <w:r>
              <w:rPr>
                <w:i/>
                <w:lang w:val="fr-FR"/>
              </w:rPr>
              <w:t>Trụ sở tại:</w:t>
            </w:r>
          </w:p>
        </w:tc>
        <w:tc>
          <w:tcPr>
            <w:tcW w:w="7939" w:type="dxa"/>
            <w:gridSpan w:val="8"/>
            <w:tcBorders>
              <w:top w:val="dotted" w:sz="4" w:space="0" w:color="000000"/>
              <w:left w:val="dotted" w:sz="4" w:space="0" w:color="000000"/>
              <w:bottom w:val="dotted" w:sz="4" w:space="0" w:color="000000"/>
              <w:right w:val="single" w:sz="4" w:space="0" w:color="000000"/>
            </w:tcBorders>
          </w:tcPr>
          <w:p>
            <w:pPr>
              <w:pStyle w:val="Normal"/>
              <w:ind w:left="284"/>
              <w:rPr>
                <w:i/>
                <w:i/>
                <w:lang w:val="it-IT"/>
              </w:rPr>
            </w:pPr>
            <w:r>
              <w:rPr>
                <w:i/>
                <w:lang w:val="it-IT"/>
              </w:rPr>
              <w:t>02 Lê Quý Đôn, Phường Thuận Hóa, TP Huế</w:t>
            </w:r>
          </w:p>
        </w:tc>
        <w:tc>
          <w:tcPr>
            <w:tcW w:w="29" w:type="dxa"/>
            <w:tcBorders/>
          </w:tcPr>
          <w:p>
            <w:pPr>
              <w:pStyle w:val="Normal"/>
              <w:rPr/>
            </w:pPr>
            <w:r>
              <w:rPr/>
            </w:r>
          </w:p>
        </w:tc>
      </w:tr>
      <w:tr>
        <w:trPr/>
        <w:tc>
          <w:tcPr>
            <w:tcW w:w="2268" w:type="dxa"/>
            <w:tcBorders>
              <w:top w:val="dotted" w:sz="4" w:space="0" w:color="000000"/>
              <w:left w:val="single" w:sz="4" w:space="0" w:color="000000"/>
              <w:bottom w:val="dotted" w:sz="4" w:space="0" w:color="000000"/>
              <w:right w:val="dotted" w:sz="4" w:space="0" w:color="000000"/>
            </w:tcBorders>
          </w:tcPr>
          <w:p>
            <w:pPr>
              <w:pStyle w:val="Normal"/>
              <w:ind w:left="284"/>
              <w:rPr>
                <w:i/>
                <w:i/>
                <w:lang w:val="fr-FR"/>
              </w:rPr>
            </w:pPr>
            <w:r>
              <w:rPr>
                <w:i/>
                <w:lang w:val="fr-FR"/>
              </w:rPr>
              <w:t>Điện thoại:</w:t>
            </w:r>
          </w:p>
        </w:tc>
        <w:tc>
          <w:tcPr>
            <w:tcW w:w="3487" w:type="dxa"/>
            <w:gridSpan w:val="4"/>
            <w:tcBorders>
              <w:top w:val="dotted" w:sz="4" w:space="0" w:color="000000"/>
              <w:left w:val="dotted" w:sz="4" w:space="0" w:color="000000"/>
              <w:bottom w:val="dotted" w:sz="4" w:space="0" w:color="000000"/>
              <w:right w:val="dotted" w:sz="4" w:space="0" w:color="000000"/>
            </w:tcBorders>
          </w:tcPr>
          <w:p>
            <w:pPr>
              <w:pStyle w:val="Normal"/>
              <w:ind w:hanging="1876" w:left="2160"/>
              <w:rPr>
                <w:i/>
                <w:i/>
                <w:lang w:val="it-IT"/>
              </w:rPr>
            </w:pPr>
            <w:r>
              <w:rPr>
                <w:i/>
                <w:lang w:val="it-IT"/>
              </w:rPr>
              <w:t>0234.3946666</w:t>
            </w:r>
          </w:p>
        </w:tc>
        <w:tc>
          <w:tcPr>
            <w:tcW w:w="2619" w:type="dxa"/>
            <w:gridSpan w:val="2"/>
            <w:tcBorders>
              <w:top w:val="dotted" w:sz="4" w:space="0" w:color="000000"/>
              <w:left w:val="dotted" w:sz="4" w:space="0" w:color="000000"/>
              <w:bottom w:val="dotted" w:sz="4" w:space="0" w:color="000000"/>
              <w:right w:val="dotted" w:sz="4" w:space="0" w:color="000000"/>
            </w:tcBorders>
          </w:tcPr>
          <w:p>
            <w:pPr>
              <w:pStyle w:val="Normal"/>
              <w:ind w:left="284"/>
              <w:rPr>
                <w:i/>
                <w:i/>
                <w:lang w:val="it-IT"/>
              </w:rPr>
            </w:pPr>
            <w:r>
              <w:rPr>
                <w:i/>
              </w:rPr>
              <w:t>Fax</w:t>
            </w:r>
          </w:p>
        </w:tc>
        <w:tc>
          <w:tcPr>
            <w:tcW w:w="1833" w:type="dxa"/>
            <w:gridSpan w:val="2"/>
            <w:tcBorders>
              <w:top w:val="dotted" w:sz="4" w:space="0" w:color="000000"/>
              <w:left w:val="dotted" w:sz="4" w:space="0" w:color="000000"/>
              <w:bottom w:val="dotted" w:sz="4" w:space="0" w:color="000000"/>
              <w:right w:val="single" w:sz="4" w:space="0" w:color="000000"/>
            </w:tcBorders>
          </w:tcPr>
          <w:p>
            <w:pPr>
              <w:pStyle w:val="Normal"/>
              <w:ind w:left="284"/>
              <w:rPr>
                <w:i/>
                <w:i/>
                <w:lang w:val="it-IT"/>
              </w:rPr>
            </w:pPr>
            <w:r>
              <w:rPr>
                <w:i/>
                <w:lang w:val="it-IT"/>
              </w:rPr>
            </w:r>
          </w:p>
        </w:tc>
        <w:tc>
          <w:tcPr>
            <w:tcW w:w="29" w:type="dxa"/>
            <w:tcBorders/>
          </w:tcPr>
          <w:p>
            <w:pPr>
              <w:pStyle w:val="Normal"/>
              <w:rPr/>
            </w:pPr>
            <w:r>
              <w:rPr/>
            </w:r>
          </w:p>
        </w:tc>
      </w:tr>
      <w:tr>
        <w:trPr/>
        <w:tc>
          <w:tcPr>
            <w:tcW w:w="2268" w:type="dxa"/>
            <w:tcBorders>
              <w:top w:val="dotted" w:sz="4" w:space="0" w:color="000000"/>
              <w:left w:val="single" w:sz="4" w:space="0" w:color="000000"/>
              <w:bottom w:val="dotted" w:sz="4" w:space="0" w:color="000000"/>
              <w:right w:val="dotted" w:sz="4" w:space="0" w:color="000000"/>
            </w:tcBorders>
          </w:tcPr>
          <w:p>
            <w:pPr>
              <w:pStyle w:val="Normal"/>
              <w:ind w:left="284"/>
              <w:rPr>
                <w:i/>
                <w:i/>
                <w:lang w:val="fr-FR"/>
              </w:rPr>
            </w:pPr>
            <w:r>
              <w:rPr>
                <w:i/>
                <w:lang w:val="fr-FR"/>
              </w:rPr>
              <w:t>Người đại diện</w:t>
            </w:r>
          </w:p>
        </w:tc>
        <w:tc>
          <w:tcPr>
            <w:tcW w:w="7939" w:type="dxa"/>
            <w:gridSpan w:val="8"/>
            <w:tcBorders>
              <w:top w:val="dotted" w:sz="4" w:space="0" w:color="000000"/>
              <w:left w:val="dotted" w:sz="4" w:space="0" w:color="000000"/>
              <w:bottom w:val="dotted" w:sz="4" w:space="0" w:color="000000"/>
              <w:right w:val="single" w:sz="4" w:space="0" w:color="000000"/>
            </w:tcBorders>
          </w:tcPr>
          <w:p>
            <w:pPr>
              <w:pStyle w:val="Normal"/>
              <w:ind w:left="284"/>
              <w:rPr>
                <w:i/>
                <w:i/>
              </w:rPr>
            </w:pPr>
            <w:r>
              <w:rPr>
                <w:i/>
              </w:rPr>
              <w:t>Ông/bà: Phan Thị Tú Linh</w:t>
            </w:r>
          </w:p>
        </w:tc>
        <w:tc>
          <w:tcPr>
            <w:tcW w:w="29" w:type="dxa"/>
            <w:tcBorders/>
          </w:tcPr>
          <w:p>
            <w:pPr>
              <w:pStyle w:val="Normal"/>
              <w:rPr/>
            </w:pPr>
            <w:r>
              <w:rPr/>
            </w:r>
          </w:p>
        </w:tc>
      </w:tr>
      <w:tr>
        <w:trPr/>
        <w:tc>
          <w:tcPr>
            <w:tcW w:w="2268" w:type="dxa"/>
            <w:tcBorders>
              <w:top w:val="dotted" w:sz="4" w:space="0" w:color="000000"/>
              <w:left w:val="single" w:sz="4" w:space="0" w:color="000000"/>
              <w:bottom w:val="dotted" w:sz="4" w:space="0" w:color="000000"/>
              <w:right w:val="dotted" w:sz="4" w:space="0" w:color="000000"/>
            </w:tcBorders>
          </w:tcPr>
          <w:p>
            <w:pPr>
              <w:pStyle w:val="Normal"/>
              <w:ind w:left="284"/>
              <w:rPr>
                <w:i/>
                <w:i/>
                <w:lang w:val="fr-FR"/>
              </w:rPr>
            </w:pPr>
            <w:r>
              <w:rPr>
                <w:i/>
                <w:lang w:val="fr-FR"/>
              </w:rPr>
            </w:r>
          </w:p>
        </w:tc>
        <w:tc>
          <w:tcPr>
            <w:tcW w:w="7939" w:type="dxa"/>
            <w:gridSpan w:val="8"/>
            <w:tcBorders>
              <w:top w:val="dotted" w:sz="4" w:space="0" w:color="000000"/>
              <w:left w:val="dotted" w:sz="4" w:space="0" w:color="000000"/>
              <w:bottom w:val="dotted" w:sz="4" w:space="0" w:color="000000"/>
              <w:right w:val="single" w:sz="4" w:space="0" w:color="000000"/>
            </w:tcBorders>
          </w:tcPr>
          <w:p>
            <w:pPr>
              <w:pStyle w:val="Normal"/>
              <w:ind w:left="284"/>
              <w:rPr>
                <w:i/>
                <w:i/>
                <w:lang w:val="fr-FR"/>
              </w:rPr>
            </w:pPr>
            <w:r>
              <w:rPr>
                <w:i/>
                <w:lang w:val="fr-FR"/>
              </w:rPr>
              <w:t>Chức vụ: Phó Giám đốc</w:t>
            </w:r>
          </w:p>
        </w:tc>
        <w:tc>
          <w:tcPr>
            <w:tcW w:w="29" w:type="dxa"/>
            <w:tcBorders/>
          </w:tcPr>
          <w:p>
            <w:pPr>
              <w:pStyle w:val="Normal"/>
              <w:rPr/>
            </w:pPr>
            <w:r>
              <w:rPr/>
            </w:r>
          </w:p>
        </w:tc>
      </w:tr>
      <w:tr>
        <w:trPr/>
        <w:tc>
          <w:tcPr>
            <w:tcW w:w="2268" w:type="dxa"/>
            <w:tcBorders>
              <w:top w:val="dotted" w:sz="4" w:space="0" w:color="000000"/>
              <w:left w:val="single" w:sz="4" w:space="0" w:color="000000"/>
              <w:bottom w:val="single" w:sz="4" w:space="0" w:color="000000"/>
              <w:right w:val="dotted" w:sz="4" w:space="0" w:color="000000"/>
            </w:tcBorders>
          </w:tcPr>
          <w:p>
            <w:pPr>
              <w:pStyle w:val="Normal"/>
              <w:ind w:left="284"/>
              <w:rPr>
                <w:i/>
                <w:i/>
                <w:lang w:val="fr-FR"/>
              </w:rPr>
            </w:pPr>
            <w:r>
              <w:rPr>
                <w:i/>
                <w:lang w:val="fr-FR"/>
              </w:rPr>
            </w:r>
          </w:p>
        </w:tc>
        <w:tc>
          <w:tcPr>
            <w:tcW w:w="7939" w:type="dxa"/>
            <w:gridSpan w:val="8"/>
            <w:tcBorders>
              <w:top w:val="dotted" w:sz="4" w:space="0" w:color="000000"/>
              <w:left w:val="dotted" w:sz="4" w:space="0" w:color="000000"/>
              <w:bottom w:val="single" w:sz="4" w:space="0" w:color="000000"/>
              <w:right w:val="single" w:sz="4" w:space="0" w:color="000000"/>
            </w:tcBorders>
          </w:tcPr>
          <w:p>
            <w:pPr>
              <w:pStyle w:val="Normal"/>
              <w:ind w:left="284"/>
              <w:rPr>
                <w:i/>
                <w:i/>
                <w:lang w:val="fr-FR"/>
              </w:rPr>
            </w:pPr>
            <w:r>
              <w:rPr>
                <w:i/>
                <w:lang w:val="fr-FR"/>
              </w:rPr>
              <w:t>(theo giấy uỷ quyền số 444/UQ-HĐQT-NHCT-PCTT1 ngày 13/05/2026 của Chủ tịch HĐQT Ngân hàng TMCP Công thương Việt Nam</w:t>
            </w:r>
            <w:r>
              <w:rPr>
                <w:i/>
                <w:iCs/>
                <w:lang w:val="fr-FR"/>
              </w:rPr>
              <w:t>).</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dotted" w:sz="4" w:space="0" w:color="000000"/>
              <w:right w:val="single" w:sz="4" w:space="0" w:color="000000"/>
            </w:tcBorders>
          </w:tcPr>
          <w:p>
            <w:pPr>
              <w:pStyle w:val="Heading4"/>
              <w:spacing w:lineRule="auto" w:line="240"/>
              <w:jc w:val="both"/>
              <w:rPr>
                <w:i/>
                <w:i/>
                <w:lang w:val="fr-FR"/>
              </w:rPr>
            </w:pPr>
            <w:r>
              <w:rPr>
                <w:b w:val="false"/>
                <w:i/>
                <w:lang w:val="fr-FR"/>
              </w:rPr>
              <w:t>Hối phiếu kèm Bộ Chứng Từ</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tcPr>
          <w:p>
            <w:pPr>
              <w:pStyle w:val="Heading4"/>
              <w:spacing w:lineRule="exact" w:line="280"/>
              <w:jc w:val="both"/>
              <w:rPr>
                <w:i/>
                <w:i/>
                <w:sz w:val="24"/>
                <w:szCs w:val="24"/>
                <w:lang w:val="fr-FR"/>
              </w:rPr>
            </w:pPr>
            <w:r>
              <w:rPr>
                <w:i/>
                <w:sz w:val="24"/>
                <w:szCs w:val="24"/>
                <w:lang w:val="fr-FR"/>
              </w:rPr>
              <w:t>Đồng ý chiết khấu có truy đòi Hối phiếu kèm Bộ Chứng Từ theo đề nghị của Khách Hàng theo nội dung:</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tcPr>
          <w:p>
            <w:pPr>
              <w:pStyle w:val="Heading4"/>
              <w:numPr>
                <w:ilvl w:val="0"/>
                <w:numId w:val="4"/>
              </w:numPr>
              <w:spacing w:lineRule="exact" w:line="280"/>
              <w:ind w:hanging="360" w:left="627"/>
              <w:jc w:val="both"/>
              <w:rPr>
                <w:b w:val="false"/>
                <w:i/>
                <w:i/>
                <w:sz w:val="24"/>
                <w:szCs w:val="24"/>
                <w:lang w:val="fr-FR"/>
              </w:rPr>
            </w:pPr>
            <w:r>
              <w:rPr>
                <w:b w:val="false"/>
                <w:i/>
                <w:sz w:val="24"/>
                <w:szCs w:val="24"/>
                <w:lang w:val="fr-FR"/>
              </w:rPr>
              <w:t>Đồng ý Chiết khấu với các nội dung như Khách hàng đề nghị tại Phần A của Giấy đề nghị kiêm Phụ lục Hợp đồng này</w:t>
            </w:r>
          </w:p>
        </w:tc>
        <w:tc>
          <w:tcPr>
            <w:tcW w:w="29" w:type="dxa"/>
            <w:tcBorders/>
          </w:tcPr>
          <w:p>
            <w:pPr>
              <w:pStyle w:val="Normal"/>
              <w:rPr/>
            </w:pPr>
            <w:r>
              <w:rPr/>
            </w:r>
          </w:p>
        </w:tc>
      </w:tr>
      <w:tr>
        <w:trPr/>
        <w:tc>
          <w:tcPr>
            <w:tcW w:w="10207" w:type="dxa"/>
            <w:gridSpan w:val="9"/>
            <w:tcBorders>
              <w:top w:val="single" w:sz="4" w:space="0" w:color="000000"/>
              <w:left w:val="single" w:sz="4" w:space="0" w:color="000000"/>
              <w:bottom w:val="single" w:sz="4" w:space="0" w:color="000000"/>
              <w:right w:val="single" w:sz="4" w:space="0" w:color="000000"/>
            </w:tcBorders>
          </w:tcPr>
          <w:p>
            <w:pPr>
              <w:pStyle w:val="Heading4"/>
              <w:numPr>
                <w:ilvl w:val="0"/>
                <w:numId w:val="4"/>
              </w:numPr>
              <w:spacing w:lineRule="exact" w:line="280"/>
              <w:ind w:hanging="360" w:left="627"/>
              <w:jc w:val="both"/>
              <w:rPr>
                <w:b w:val="false"/>
                <w:i/>
                <w:i/>
                <w:sz w:val="24"/>
                <w:szCs w:val="24"/>
              </w:rPr>
            </w:pPr>
            <w:r>
              <w:rPr>
                <w:b w:val="false"/>
                <w:i/>
                <w:sz w:val="24"/>
                <w:szCs w:val="24"/>
                <w:lang w:val="fr-FR"/>
              </w:rPr>
              <w:t xml:space="preserve">Không đồng ý Chiết khấu với các nội dung như Khách hàng đề nghị:………… </w:t>
            </w:r>
            <w:r>
              <w:rPr>
                <w:b w:val="false"/>
                <w:i/>
                <w:sz w:val="24"/>
                <w:szCs w:val="24"/>
              </w:rPr>
              <w:t>(Lý do) ……</w:t>
            </w:r>
          </w:p>
          <w:p>
            <w:pPr>
              <w:pStyle w:val="Normal"/>
              <w:numPr>
                <w:ilvl w:val="0"/>
                <w:numId w:val="4"/>
              </w:numPr>
              <w:spacing w:lineRule="exact" w:line="280"/>
              <w:ind w:hanging="360" w:left="627"/>
              <w:rPr>
                <w:i/>
                <w:i/>
              </w:rPr>
            </w:pPr>
            <w:r>
              <w:rPr>
                <w:i/>
              </w:rPr>
              <w:t>Ý kiến khác (nếu có)</w:t>
            </w:r>
            <w:r>
              <w:rPr>
                <w:i/>
              </w:rPr>
              <w:t xml:space="preserve"> </w:t>
            </w:r>
          </w:p>
        </w:tc>
        <w:tc>
          <w:tcPr>
            <w:tcW w:w="29" w:type="dxa"/>
            <w:tcBorders/>
          </w:tcPr>
          <w:p>
            <w:pPr>
              <w:pStyle w:val="Normal"/>
              <w:rPr/>
            </w:pPr>
            <w:r>
              <w:rPr/>
            </w:r>
          </w:p>
        </w:tc>
      </w:tr>
      <w:tr>
        <w:trPr/>
        <w:tc>
          <w:tcPr>
            <w:tcW w:w="3856" w:type="dxa"/>
            <w:gridSpan w:val="3"/>
            <w:tcBorders>
              <w:top w:val="single" w:sz="4" w:space="0" w:color="000000"/>
              <w:left w:val="single" w:sz="4" w:space="0" w:color="000000"/>
              <w:bottom w:val="single" w:sz="4" w:space="0" w:color="000000"/>
              <w:right w:val="single" w:sz="4" w:space="0" w:color="000000"/>
            </w:tcBorders>
          </w:tcPr>
          <w:p>
            <w:pPr>
              <w:pStyle w:val="Normal"/>
              <w:spacing w:lineRule="exact" w:line="280"/>
              <w:ind w:left="176"/>
              <w:rPr>
                <w:i/>
                <w:i/>
              </w:rPr>
            </w:pPr>
            <w:r>
              <w:rPr>
                <w:i/>
              </w:rPr>
              <w:t>Số Hạn mức chiết khấu/Số FAC:</w:t>
            </w:r>
          </w:p>
        </w:tc>
        <w:tc>
          <w:tcPr>
            <w:tcW w:w="1702" w:type="dxa"/>
            <w:tcBorders>
              <w:top w:val="single" w:sz="4" w:space="0" w:color="000000"/>
              <w:left w:val="single" w:sz="4" w:space="0" w:color="000000"/>
              <w:bottom w:val="single" w:sz="4" w:space="0" w:color="000000"/>
              <w:right w:val="single" w:sz="4" w:space="0" w:color="000000"/>
            </w:tcBorders>
          </w:tcPr>
          <w:p>
            <w:pPr>
              <w:pStyle w:val="Normal"/>
              <w:spacing w:lineRule="exact" w:line="280"/>
              <w:rPr>
                <w:i/>
                <w:i/>
                <w:lang w:val="it-IT"/>
              </w:rPr>
            </w:pPr>
            <w:r>
              <w:rPr>
                <w:i/>
                <w:lang w:val="it-IT"/>
              </w:rPr>
              <w:t>472001590319</w:t>
            </w:r>
          </w:p>
        </w:tc>
        <w:tc>
          <w:tcPr>
            <w:tcW w:w="2834" w:type="dxa"/>
            <w:gridSpan w:val="4"/>
            <w:tcBorders>
              <w:top w:val="single" w:sz="4" w:space="0" w:color="000000"/>
              <w:left w:val="single" w:sz="4" w:space="0" w:color="000000"/>
              <w:bottom w:val="single" w:sz="4" w:space="0" w:color="000000"/>
              <w:right w:val="single" w:sz="4" w:space="0" w:color="000000"/>
            </w:tcBorders>
          </w:tcPr>
          <w:p>
            <w:pPr>
              <w:pStyle w:val="Normal"/>
              <w:spacing w:lineRule="exact" w:line="280"/>
              <w:ind w:left="215"/>
              <w:rPr>
                <w:i/>
                <w:i/>
                <w:lang w:val="de-DE"/>
              </w:rPr>
            </w:pPr>
            <w:r>
              <w:rPr>
                <w:i/>
              </w:rPr>
              <w:t xml:space="preserve">Thời hạn hiệu lực </w:t>
            </w:r>
          </w:p>
        </w:tc>
        <w:tc>
          <w:tcPr>
            <w:tcW w:w="1844" w:type="dxa"/>
            <w:gridSpan w:val="2"/>
            <w:tcBorders>
              <w:top w:val="single" w:sz="4" w:space="0" w:color="000000"/>
              <w:left w:val="single" w:sz="4" w:space="0" w:color="000000"/>
              <w:bottom w:val="single" w:sz="4" w:space="0" w:color="000000"/>
              <w:right w:val="single" w:sz="4" w:space="0" w:color="000000"/>
            </w:tcBorders>
          </w:tcPr>
          <w:p>
            <w:pPr>
              <w:pStyle w:val="Normal"/>
              <w:spacing w:lineRule="exact" w:line="280"/>
              <w:rPr>
                <w:i/>
                <w:i/>
                <w:lang w:val="it-IT"/>
              </w:rPr>
            </w:pPr>
            <w:r>
              <w:rPr>
                <w:color w:themeColor="text1" w:val="000000"/>
                <w:lang w:val="it-IT"/>
              </w:rPr>
              <w:t>Đến 04/06/2027</w:t>
            </w:r>
          </w:p>
        </w:tc>
      </w:tr>
    </w:tbl>
    <w:p>
      <w:pPr>
        <w:pStyle w:val="Normal"/>
        <w:tabs>
          <w:tab w:val="clear" w:pos="720"/>
          <w:tab w:val="left" w:pos="-165" w:leader="none"/>
        </w:tabs>
        <w:spacing w:lineRule="auto" w:line="264"/>
        <w:jc w:val="both"/>
        <w:rPr>
          <w:i/>
          <w:i/>
          <w:spacing w:val="-4"/>
          <w:lang w:val="it-IT"/>
        </w:rPr>
      </w:pPr>
      <w:r>
        <w:rPr>
          <w:i/>
          <w:spacing w:val="-4"/>
          <w:lang w:val="it-IT"/>
        </w:rPr>
      </w:r>
    </w:p>
    <w:p>
      <w:pPr>
        <w:pStyle w:val="Normal"/>
        <w:tabs>
          <w:tab w:val="clear" w:pos="720"/>
          <w:tab w:val="left" w:pos="-165" w:leader="none"/>
        </w:tabs>
        <w:spacing w:lineRule="auto" w:line="264"/>
        <w:jc w:val="both"/>
        <w:rPr>
          <w:i/>
          <w:i/>
          <w:lang w:val="it-IT"/>
        </w:rPr>
      </w:pPr>
      <w:r>
        <w:rPr>
          <w:i/>
          <w:szCs w:val="26"/>
          <w:lang w:val="it-IT"/>
        </w:rPr>
        <w:t>Các nội dung không được quy định tại Giấy đề nghị chiết khấu kiêm phụ lục Hợp đồng này được thực hiện theo quy định của Ngân hàng và thỏa thuận tại Hợp Đồng Chiết Khấu</w:t>
      </w:r>
    </w:p>
    <w:p>
      <w:pPr>
        <w:pStyle w:val="Normal"/>
        <w:tabs>
          <w:tab w:val="clear" w:pos="720"/>
          <w:tab w:val="left" w:pos="-165" w:leader="none"/>
          <w:tab w:val="left" w:pos="5040" w:leader="none"/>
        </w:tabs>
        <w:spacing w:lineRule="auto" w:line="264"/>
        <w:jc w:val="both"/>
        <w:rPr>
          <w:b/>
          <w:i/>
          <w:i/>
          <w:lang w:val="it-IT"/>
        </w:rPr>
      </w:pPr>
      <w:r>
        <w:rPr>
          <w:b/>
          <w:i/>
          <w:lang w:val="it-IT"/>
        </w:rPr>
        <w:t xml:space="preserve">      </w:t>
      </w:r>
      <w:r>
        <w:rPr>
          <w:b/>
          <w:i/>
          <w:lang w:val="it-IT"/>
        </w:rPr>
        <w:t>Đại diện khách hàng                                           Đại diện NH TMCP CTVN, chi nhánh</w:t>
      </w:r>
    </w:p>
    <w:p>
      <w:pPr>
        <w:pStyle w:val="Normal"/>
        <w:tabs>
          <w:tab w:val="clear" w:pos="720"/>
          <w:tab w:val="left" w:pos="-165" w:leader="none"/>
        </w:tabs>
        <w:spacing w:lineRule="auto" w:line="264"/>
        <w:jc w:val="both"/>
        <w:rPr>
          <w:i/>
          <w:i/>
          <w:lang w:val="de-DE"/>
        </w:rPr>
      </w:pPr>
      <w:r>
        <w:rPr>
          <w:b/>
          <w:i/>
          <w:lang w:val="it-IT"/>
        </w:rPr>
        <w:t xml:space="preserve">            </w:t>
      </w:r>
      <w:r>
        <w:rPr>
          <w:b/>
          <w:i/>
          <w:lang w:val="it-IT"/>
        </w:rPr>
        <w:t>Ký và đóng dấu</w:t>
        <w:tab/>
        <w:tab/>
        <w:tab/>
        <w:t xml:space="preserve">                           Ký và đóng dấu</w:t>
      </w:r>
    </w:p>
    <w:p>
      <w:pPr>
        <w:pStyle w:val="Normal"/>
        <w:spacing w:lineRule="auto" w:line="276" w:before="0" w:after="200"/>
        <w:rPr>
          <w:b/>
          <w:i/>
          <w:i/>
          <w:sz w:val="22"/>
          <w:szCs w:val="22"/>
          <w:lang w:val="de-DE"/>
        </w:rPr>
      </w:pPr>
      <w:r>
        <w:rPr>
          <w:b/>
          <w:i/>
          <w:sz w:val="22"/>
          <w:szCs w:val="22"/>
          <w:lang w:val="de-DE"/>
        </w:rPr>
      </w:r>
    </w:p>
    <w:p>
      <w:pPr>
        <w:pStyle w:val="Normal"/>
        <w:spacing w:lineRule="auto" w:line="276" w:before="0" w:after="200"/>
        <w:rPr>
          <w:b/>
          <w:i/>
          <w:i/>
          <w:sz w:val="22"/>
          <w:szCs w:val="22"/>
          <w:lang w:val="de-DE"/>
        </w:rPr>
      </w:pPr>
      <w:r>
        <w:rPr>
          <w:b/>
          <w:i/>
          <w:sz w:val="22"/>
          <w:szCs w:val="22"/>
          <w:lang w:val="de-DE"/>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811" w:gutter="0" w:header="720" w:top="777" w:footer="266"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swiss"/>
    <w:pitch w:val="variable"/>
  </w:font>
  <w:font w:name="Courier New">
    <w:charset w:val="01"/>
    <w:family w:val="roman"/>
    <w:pitch w:val="variable"/>
  </w:font>
  <w:font w:name=".VnTime">
    <w:charset w:val="01"/>
    <w:family w:val="roman"/>
    <w:pitch w:val="variable"/>
  </w:font>
  <w:font w:name=".VnSouthern">
    <w:charset w:val="01"/>
    <w:family w:val="roman"/>
    <w:pitch w:val="variable"/>
  </w:font>
  <w:font w:name="Segoe UI Symbol">
    <w:charset w:val="01"/>
    <w:family w:val="roman"/>
    <w:pitch w:val="variable"/>
  </w:font>
  <w:font w:name="Wingdings 2">
    <w:charset w:val="02"/>
    <w:family w:val="roman"/>
    <w:pitch w:val="variable"/>
  </w:font>
  <w:font w:name="Wingdings">
    <w:charset w:val="02"/>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45818904"/>
      <w:docPartObj>
        <w:docPartGallery w:val="Page Numbers (Bottom of Page)"/>
        <w:docPartUnique w:val="true"/>
      </w:docPartObj>
    </w:sdtPr>
    <w:sdtContent>
      <w:p>
        <w:pPr>
          <w:pStyle w:val="Footer"/>
          <w:jc w:val="right"/>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45818904"/>
      <w:docPartObj>
        <w:docPartGallery w:val="Page Numbers (Bottom of Page)"/>
        <w:docPartUnique w:val="true"/>
      </w:docPartObj>
    </w:sdtPr>
    <w:sdtContent>
      <w:p>
        <w:pPr>
          <w:pStyle w:val="Footer"/>
          <w:jc w:val="right"/>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ind w:left="-180"/>
      <w:jc w:val="both"/>
      <w:rPr>
        <w:i/>
        <w:i/>
      </w:rPr>
    </w:pPr>
    <w:r>
      <w:rPr>
        <w:i/>
        <w:sz w:val="22"/>
        <w:szCs w:val="22"/>
      </w:rPr>
      <w:t>[BM08: Mẫu Giấy đề nghị chiết khấu kiêm phụ lục hợp đồng dành cho Hợp đồng chiết khấu Hối phiếu kèm Bộ Chứng Từ (trừ L/C) ban hành kèm theo Quyết định …./CS-TGĐ-NHCT-PCTT1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ind w:left="-180"/>
      <w:jc w:val="both"/>
      <w:rPr>
        <w:i/>
        <w:i/>
      </w:rPr>
    </w:pPr>
    <w:r>
      <w:rPr>
        <w:i/>
        <w:sz w:val="22"/>
        <w:szCs w:val="22"/>
      </w:rPr>
      <w:t>[BM08: Mẫu Giấy đề nghị chiết khấu kiêm phụ lục hợp đồng dành cho Hợp đồng chiết khấu Hối phiếu kèm Bộ Chứng Từ (trừ L/C) ban hành kèm theo Quyết định …./CS-TGĐ-NHCT-PCTT1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left"/>
      <w:pPr>
        <w:tabs>
          <w:tab w:val="num" w:pos="0"/>
        </w:tabs>
        <w:ind w:left="360" w:hanging="360"/>
      </w:pPr>
      <w:rPr>
        <w:sz w:val="26"/>
        <w:i/>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1620" w:hanging="360"/>
      </w:pPr>
      <w:rPr>
        <w:rFonts w:ascii="Wingdings" w:hAnsi="Wingdings" w:cs="Wingdings" w:hint="default"/>
      </w:rPr>
    </w:lvl>
    <w:lvl w:ilvl="1">
      <w:start w:val="1"/>
      <w:numFmt w:val="bullet"/>
      <w:lvlText w:val="o"/>
      <w:lvlJc w:val="left"/>
      <w:pPr>
        <w:tabs>
          <w:tab w:val="num" w:pos="0"/>
        </w:tabs>
        <w:ind w:left="2340" w:hanging="360"/>
      </w:pPr>
      <w:rPr>
        <w:rFonts w:ascii="Courier New" w:hAnsi="Courier New" w:cs="Courier New" w:hint="default"/>
      </w:rPr>
    </w:lvl>
    <w:lvl w:ilvl="2">
      <w:start w:val="1"/>
      <w:numFmt w:val="bullet"/>
      <w:lvlText w:val=""/>
      <w:lvlJc w:val="left"/>
      <w:pPr>
        <w:tabs>
          <w:tab w:val="num" w:pos="0"/>
        </w:tabs>
        <w:ind w:left="3060" w:hanging="360"/>
      </w:pPr>
      <w:rPr>
        <w:rFonts w:ascii="Wingdings" w:hAnsi="Wingdings" w:cs="Wingdings" w:hint="default"/>
      </w:rPr>
    </w:lvl>
    <w:lvl w:ilvl="3">
      <w:start w:val="1"/>
      <w:numFmt w:val="bullet"/>
      <w:lvlText w:val=""/>
      <w:lvlJc w:val="left"/>
      <w:pPr>
        <w:tabs>
          <w:tab w:val="num" w:pos="0"/>
        </w:tabs>
        <w:ind w:left="3780" w:hanging="360"/>
      </w:pPr>
      <w:rPr>
        <w:rFonts w:ascii="Symbol" w:hAnsi="Symbol" w:cs="Symbol" w:hint="default"/>
      </w:rPr>
    </w:lvl>
    <w:lvl w:ilvl="4">
      <w:start w:val="1"/>
      <w:numFmt w:val="bullet"/>
      <w:lvlText w:val="o"/>
      <w:lvlJc w:val="left"/>
      <w:pPr>
        <w:tabs>
          <w:tab w:val="num" w:pos="0"/>
        </w:tabs>
        <w:ind w:left="4500" w:hanging="360"/>
      </w:pPr>
      <w:rPr>
        <w:rFonts w:ascii="Courier New" w:hAnsi="Courier New" w:cs="Courier New" w:hint="default"/>
      </w:rPr>
    </w:lvl>
    <w:lvl w:ilvl="5">
      <w:start w:val="1"/>
      <w:numFmt w:val="bullet"/>
      <w:lvlText w:val=""/>
      <w:lvlJc w:val="left"/>
      <w:pPr>
        <w:tabs>
          <w:tab w:val="num" w:pos="0"/>
        </w:tabs>
        <w:ind w:left="5220" w:hanging="360"/>
      </w:pPr>
      <w:rPr>
        <w:rFonts w:ascii="Wingdings" w:hAnsi="Wingdings" w:cs="Wingdings" w:hint="default"/>
      </w:rPr>
    </w:lvl>
    <w:lvl w:ilvl="6">
      <w:start w:val="1"/>
      <w:numFmt w:val="bullet"/>
      <w:lvlText w:val=""/>
      <w:lvlJc w:val="left"/>
      <w:pPr>
        <w:tabs>
          <w:tab w:val="num" w:pos="0"/>
        </w:tabs>
        <w:ind w:left="5940" w:hanging="360"/>
      </w:pPr>
      <w:rPr>
        <w:rFonts w:ascii="Symbol" w:hAnsi="Symbol" w:cs="Symbol" w:hint="default"/>
      </w:rPr>
    </w:lvl>
    <w:lvl w:ilvl="7">
      <w:start w:val="1"/>
      <w:numFmt w:val="bullet"/>
      <w:lvlText w:val="o"/>
      <w:lvlJc w:val="left"/>
      <w:pPr>
        <w:tabs>
          <w:tab w:val="num" w:pos="0"/>
        </w:tabs>
        <w:ind w:left="6660" w:hanging="360"/>
      </w:pPr>
      <w:rPr>
        <w:rFonts w:ascii="Courier New" w:hAnsi="Courier New" w:cs="Courier New" w:hint="default"/>
      </w:rPr>
    </w:lvl>
    <w:lvl w:ilvl="8">
      <w:start w:val="1"/>
      <w:numFmt w:val="bullet"/>
      <w:lvlText w:val=""/>
      <w:lvlJc w:val="left"/>
      <w:pPr>
        <w:tabs>
          <w:tab w:val="num" w:pos="0"/>
        </w:tabs>
        <w:ind w:left="7380" w:hanging="360"/>
      </w:pPr>
      <w:rPr>
        <w:rFonts w:ascii="Wingdings" w:hAnsi="Wingdings" w:cs="Wingdings" w:hint="default"/>
      </w:rPr>
    </w:lvl>
  </w:abstractNum>
  <w:abstractNum w:abstractNumId="5">
    <w:lvl w:ilvl="0">
      <w:start w:val="1"/>
      <w:numFmt w:val="decimal"/>
      <w:lvlText w:val="%1."/>
      <w:lvlJc w:val="left"/>
      <w:pPr>
        <w:tabs>
          <w:tab w:val="num" w:pos="0"/>
        </w:tabs>
        <w:ind w:left="805" w:hanging="360"/>
      </w:pPr>
      <w:rPr>
        <w:b/>
      </w:rPr>
    </w:lvl>
    <w:lvl w:ilvl="1">
      <w:start w:val="1"/>
      <w:numFmt w:val="lowerLetter"/>
      <w:lvlText w:val="(%2)"/>
      <w:lvlJc w:val="left"/>
      <w:pPr>
        <w:tabs>
          <w:tab w:val="num" w:pos="0"/>
        </w:tabs>
        <w:ind w:left="1885" w:hanging="720"/>
      </w:pPr>
      <w:rPr/>
    </w:lvl>
    <w:lvl w:ilvl="2">
      <w:start w:val="1"/>
      <w:numFmt w:val="lowerRoman"/>
      <w:lvlText w:val="%3."/>
      <w:lvlJc w:val="right"/>
      <w:pPr>
        <w:tabs>
          <w:tab w:val="num" w:pos="0"/>
        </w:tabs>
        <w:ind w:left="2245" w:hanging="180"/>
      </w:pPr>
      <w:rPr/>
    </w:lvl>
    <w:lvl w:ilvl="3">
      <w:start w:val="1"/>
      <w:numFmt w:val="decimal"/>
      <w:lvlText w:val="%4."/>
      <w:lvlJc w:val="left"/>
      <w:pPr>
        <w:tabs>
          <w:tab w:val="num" w:pos="0"/>
        </w:tabs>
        <w:ind w:left="2965" w:hanging="360"/>
      </w:pPr>
      <w:rPr/>
    </w:lvl>
    <w:lvl w:ilvl="4">
      <w:start w:val="1"/>
      <w:numFmt w:val="lowerLetter"/>
      <w:lvlText w:val="%5."/>
      <w:lvlJc w:val="left"/>
      <w:pPr>
        <w:tabs>
          <w:tab w:val="num" w:pos="0"/>
        </w:tabs>
        <w:ind w:left="3685" w:hanging="360"/>
      </w:pPr>
      <w:rPr/>
    </w:lvl>
    <w:lvl w:ilvl="5">
      <w:start w:val="1"/>
      <w:numFmt w:val="lowerRoman"/>
      <w:lvlText w:val="%6."/>
      <w:lvlJc w:val="right"/>
      <w:pPr>
        <w:tabs>
          <w:tab w:val="num" w:pos="0"/>
        </w:tabs>
        <w:ind w:left="4405" w:hanging="180"/>
      </w:pPr>
      <w:rPr/>
    </w:lvl>
    <w:lvl w:ilvl="6">
      <w:start w:val="1"/>
      <w:numFmt w:val="decimal"/>
      <w:lvlText w:val="%7."/>
      <w:lvlJc w:val="left"/>
      <w:pPr>
        <w:tabs>
          <w:tab w:val="num" w:pos="0"/>
        </w:tabs>
        <w:ind w:left="5125" w:hanging="360"/>
      </w:pPr>
      <w:rPr/>
    </w:lvl>
    <w:lvl w:ilvl="7">
      <w:start w:val="1"/>
      <w:numFmt w:val="lowerLetter"/>
      <w:lvlText w:val="%8."/>
      <w:lvlJc w:val="left"/>
      <w:pPr>
        <w:tabs>
          <w:tab w:val="num" w:pos="0"/>
        </w:tabs>
        <w:ind w:left="5845" w:hanging="360"/>
      </w:pPr>
      <w:rPr/>
    </w:lvl>
    <w:lvl w:ilvl="8">
      <w:start w:val="1"/>
      <w:numFmt w:val="lowerRoman"/>
      <w:lvlText w:val="%9."/>
      <w:lvlJc w:val="right"/>
      <w:pPr>
        <w:tabs>
          <w:tab w:val="num" w:pos="0"/>
        </w:tabs>
        <w:ind w:left="6565" w:hanging="180"/>
      </w:pPr>
      <w:rPr/>
    </w:lvl>
  </w:abstractNum>
  <w:abstractNum w:abstractNumId="6">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Letter"/>
      <w:lvlText w:val="(%3)"/>
      <w:lvlJc w:val="left"/>
      <w:pPr>
        <w:tabs>
          <w:tab w:val="num" w:pos="0"/>
        </w:tabs>
        <w:ind w:left="1224" w:hanging="504"/>
      </w:pPr>
      <w:rPr>
        <w:i/>
        <w:u w:val="none"/>
        <w:b w:val="false"/>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7">
    <w:lvl w:ilvl="0">
      <w:start w:val="1"/>
      <w:numFmt w:val="decimal"/>
      <w:lvlText w:val="%1."/>
      <w:lvlJc w:val="left"/>
      <w:pPr>
        <w:tabs>
          <w:tab w:val="num" w:pos="0"/>
        </w:tabs>
        <w:ind w:left="805"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9"/>
      <w:numFmt w:val="decimal"/>
      <w:lvlText w:val="%1."/>
      <w:lvlJc w:val="left"/>
      <w:pPr>
        <w:tabs>
          <w:tab w:val="num" w:pos="0"/>
        </w:tabs>
        <w:ind w:left="360" w:hanging="360"/>
      </w:pPr>
      <w:rPr/>
    </w:lvl>
    <w:lvl w:ilvl="1">
      <w:start w:val="4"/>
      <w:numFmt w:val="decimal"/>
      <w:lvlText w:val="%1.%2."/>
      <w:lvlJc w:val="left"/>
      <w:pPr>
        <w:tabs>
          <w:tab w:val="num" w:pos="0"/>
        </w:tabs>
        <w:ind w:left="792" w:hanging="432"/>
      </w:pPr>
      <w:rPr/>
    </w:lvl>
    <w:lvl w:ilvl="2">
      <w:start w:val="1"/>
      <w:numFmt w:val="lowerLetter"/>
      <w:lvlText w:val="(%3)"/>
      <w:lvlJc w:val="left"/>
      <w:pPr>
        <w:tabs>
          <w:tab w:val="num" w:pos="0"/>
        </w:tabs>
        <w:ind w:left="1224" w:hanging="504"/>
      </w:pPr>
      <w:rPr>
        <w:i/>
        <w:u w:val="none"/>
        <w:b w:val="false"/>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9">
    <w:lvl w:ilvl="0">
      <w:start w:val="9"/>
      <w:numFmt w:val="decimal"/>
      <w:lvlText w:val="%1."/>
      <w:lvlJc w:val="left"/>
      <w:pPr>
        <w:tabs>
          <w:tab w:val="num" w:pos="0"/>
        </w:tabs>
        <w:ind w:left="360" w:hanging="360"/>
      </w:pPr>
      <w:rPr/>
    </w:lvl>
    <w:lvl w:ilvl="1">
      <w:start w:val="4"/>
      <w:numFmt w:val="decimal"/>
      <w:lvlText w:val="%1.%2."/>
      <w:lvlJc w:val="left"/>
      <w:pPr>
        <w:tabs>
          <w:tab w:val="num" w:pos="0"/>
        </w:tabs>
        <w:ind w:left="792" w:hanging="432"/>
      </w:pPr>
      <w:rPr/>
    </w:lvl>
    <w:lvl w:ilvl="2">
      <w:start w:val="1"/>
      <w:numFmt w:val="lowerLetter"/>
      <w:lvlText w:val="(%3)"/>
      <w:lvlJc w:val="left"/>
      <w:pPr>
        <w:tabs>
          <w:tab w:val="num" w:pos="0"/>
        </w:tabs>
        <w:ind w:left="1224" w:hanging="504"/>
      </w:pPr>
      <w:rPr>
        <w:i/>
        <w:u w:val="none"/>
        <w:b w:val="false"/>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0">
    <w:lvl w:ilvl="0">
      <w:start w:val="9"/>
      <w:numFmt w:val="decimal"/>
      <w:lvlText w:val="%1."/>
      <w:lvlJc w:val="left"/>
      <w:pPr>
        <w:tabs>
          <w:tab w:val="num" w:pos="0"/>
        </w:tabs>
        <w:ind w:left="360" w:hanging="360"/>
      </w:pPr>
      <w:rPr/>
    </w:lvl>
    <w:lvl w:ilvl="1">
      <w:start w:val="4"/>
      <w:numFmt w:val="decimal"/>
      <w:lvlText w:val="%1.%2."/>
      <w:lvlJc w:val="left"/>
      <w:pPr>
        <w:tabs>
          <w:tab w:val="num" w:pos="0"/>
        </w:tabs>
        <w:ind w:left="792" w:hanging="432"/>
      </w:pPr>
      <w:rPr/>
    </w:lvl>
    <w:lvl w:ilvl="2">
      <w:start w:val="1"/>
      <w:numFmt w:val="lowerLetter"/>
      <w:lvlText w:val="(%3)"/>
      <w:lvlJc w:val="left"/>
      <w:pPr>
        <w:tabs>
          <w:tab w:val="num" w:pos="0"/>
        </w:tabs>
        <w:ind w:left="1224" w:hanging="504"/>
      </w:pPr>
      <w:rPr>
        <w:i/>
        <w:u w:val="none"/>
        <w:b w:val="false"/>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decimal"/>
      <w:lvlText w:val="%1."/>
      <w:lvlJc w:val="left"/>
      <w:pPr>
        <w:tabs>
          <w:tab w:val="num" w:pos="0"/>
        </w:tabs>
        <w:ind w:left="805"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0"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516c"/>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uiPriority w:val="9"/>
    <w:qFormat/>
    <w:rsid w:val="00543ab2"/>
    <w:pPr>
      <w:keepNext w:val="true"/>
      <w:keepLines/>
      <w:spacing w:before="480" w:after="0"/>
      <w:outlineLvl w:val="0"/>
    </w:pPr>
    <w:rPr>
      <w:rFonts w:ascii="Cambria" w:hAnsi="Cambria" w:eastAsia="宋体"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semiHidden/>
    <w:unhideWhenUsed/>
    <w:qFormat/>
    <w:rsid w:val="00a663b6"/>
    <w:pPr>
      <w:keepNext w:val="true"/>
      <w:keepLines/>
      <w:spacing w:before="40" w:after="0"/>
      <w:outlineLvl w:val="1"/>
    </w:pPr>
    <w:rPr>
      <w:rFonts w:ascii="Cambria" w:hAnsi="Cambria" w:eastAsia="宋体" w:cs="" w:asciiTheme="majorHAnsi" w:cstheme="majorBidi" w:eastAsiaTheme="majorEastAsia" w:hAnsiTheme="majorHAnsi"/>
      <w:color w:themeColor="accent1" w:themeShade="bf" w:val="365F91"/>
      <w:sz w:val="26"/>
      <w:szCs w:val="26"/>
    </w:rPr>
  </w:style>
  <w:style w:type="paragraph" w:styleId="Heading3">
    <w:name w:val="Heading 3"/>
    <w:basedOn w:val="Normal"/>
    <w:next w:val="Normal"/>
    <w:link w:val="Heading3Char"/>
    <w:uiPriority w:val="9"/>
    <w:semiHidden/>
    <w:unhideWhenUsed/>
    <w:qFormat/>
    <w:rsid w:val="002022df"/>
    <w:pPr>
      <w:keepNext w:val="true"/>
      <w:keepLines/>
      <w:spacing w:before="200" w:after="0"/>
      <w:outlineLvl w:val="2"/>
    </w:pPr>
    <w:rPr>
      <w:rFonts w:ascii="Cambria" w:hAnsi="Cambria" w:eastAsia="宋体" w:cs="" w:asciiTheme="majorHAnsi" w:cstheme="majorBidi" w:eastAsiaTheme="majorEastAsia" w:hAnsiTheme="majorHAnsi"/>
      <w:b/>
      <w:bCs/>
      <w:color w:themeColor="accent1" w:val="4F81BD"/>
    </w:rPr>
  </w:style>
  <w:style w:type="paragraph" w:styleId="Heading4">
    <w:name w:val="Heading 4"/>
    <w:basedOn w:val="Heading1"/>
    <w:next w:val="Normal"/>
    <w:link w:val="Heading4Char"/>
    <w:qFormat/>
    <w:rsid w:val="00543ab2"/>
    <w:pPr>
      <w:keepNext w:val="false"/>
      <w:keepLines w:val="false"/>
      <w:spacing w:lineRule="auto" w:line="312" w:before="0" w:after="0"/>
      <w:jc w:val="center"/>
      <w:outlineLvl w:val="3"/>
    </w:pPr>
    <w:rPr>
      <w:rFonts w:ascii="Times New Roman" w:hAnsi="Times New Roman" w:eastAsia="Times New Roman" w:cs="Times New Roman"/>
      <w:bCs w:val="false"/>
      <w:color w:themeColor="accent1" w:themeShade="bf" w:val="auto"/>
      <w:sz w:val="26"/>
      <w:szCs w:val="23"/>
    </w:rPr>
  </w:style>
  <w:style w:type="paragraph" w:styleId="Heading6">
    <w:name w:val="Heading 6"/>
    <w:basedOn w:val="Normal"/>
    <w:next w:val="Normal"/>
    <w:link w:val="Heading6Char"/>
    <w:uiPriority w:val="9"/>
    <w:semiHidden/>
    <w:unhideWhenUsed/>
    <w:qFormat/>
    <w:rsid w:val="00a663b6"/>
    <w:pPr>
      <w:keepNext w:val="true"/>
      <w:keepLines/>
      <w:spacing w:before="40" w:after="0"/>
      <w:outlineLvl w:val="5"/>
    </w:pPr>
    <w:rPr>
      <w:rFonts w:ascii="Cambria" w:hAnsi="Cambria" w:eastAsia="宋体" w:cs="" w:asciiTheme="majorHAnsi" w:cstheme="majorBidi" w:eastAsiaTheme="majorEastAsia" w:hAnsiTheme="majorHAnsi"/>
      <w:color w:themeColor="accent1" w:themeShade="7f" w:val="243F60"/>
    </w:rPr>
  </w:style>
  <w:style w:type="character" w:styleId="DefaultParagraphFont" w:default="1">
    <w:name w:val="Default Paragraph Font"/>
    <w:uiPriority w:val="1"/>
    <w:semiHidden/>
    <w:unhideWhenUsed/>
    <w:qFormat/>
    <w:rPr/>
  </w:style>
  <w:style w:type="character" w:styleId="Heading4Char" w:customStyle="1">
    <w:name w:val="Heading 4 Char"/>
    <w:basedOn w:val="DefaultParagraphFont"/>
    <w:link w:val="Heading4"/>
    <w:qFormat/>
    <w:rsid w:val="00543ab2"/>
    <w:rPr>
      <w:rFonts w:ascii="Times New Roman" w:hAnsi="Times New Roman" w:eastAsia="Times New Roman" w:cs="Times New Roman"/>
      <w:b/>
      <w:sz w:val="26"/>
      <w:szCs w:val="23"/>
    </w:rPr>
  </w:style>
  <w:style w:type="character" w:styleId="annotationreference">
    <w:name w:val="annotation reference"/>
    <w:semiHidden/>
    <w:qFormat/>
    <w:rsid w:val="00543ab2"/>
    <w:rPr>
      <w:sz w:val="16"/>
      <w:szCs w:val="16"/>
    </w:rPr>
  </w:style>
  <w:style w:type="character" w:styleId="CommentTextChar" w:customStyle="1">
    <w:name w:val="Comment Text Char"/>
    <w:basedOn w:val="DefaultParagraphFont"/>
    <w:link w:val="AnnotationText"/>
    <w:semiHidden/>
    <w:qFormat/>
    <w:rsid w:val="00543ab2"/>
    <w:rPr>
      <w:rFonts w:ascii="Times New Roman" w:hAnsi="Times New Roman" w:eastAsia="Times New Roman" w:cs="Times New Roman"/>
      <w:sz w:val="20"/>
      <w:szCs w:val="20"/>
    </w:rPr>
  </w:style>
  <w:style w:type="character" w:styleId="Heading1Char" w:customStyle="1">
    <w:name w:val="Heading 1 Char"/>
    <w:basedOn w:val="DefaultParagraphFont"/>
    <w:link w:val="Heading1"/>
    <w:uiPriority w:val="9"/>
    <w:qFormat/>
    <w:rsid w:val="00543ab2"/>
    <w:rPr>
      <w:rFonts w:ascii="Cambria" w:hAnsi="Cambria" w:eastAsia="宋体" w:cs="" w:asciiTheme="majorHAnsi" w:cstheme="majorBidi" w:eastAsiaTheme="majorEastAsia" w:hAnsiTheme="majorHAnsi"/>
      <w:b/>
      <w:bCs/>
      <w:color w:themeColor="accent1" w:themeShade="bf" w:val="365F91"/>
      <w:sz w:val="28"/>
      <w:szCs w:val="28"/>
    </w:rPr>
  </w:style>
  <w:style w:type="character" w:styleId="BalloonTextChar" w:customStyle="1">
    <w:name w:val="Balloon Text Char"/>
    <w:basedOn w:val="DefaultParagraphFont"/>
    <w:link w:val="BalloonText"/>
    <w:uiPriority w:val="99"/>
    <w:semiHidden/>
    <w:qFormat/>
    <w:rsid w:val="00543ab2"/>
    <w:rPr>
      <w:rFonts w:ascii="Tahoma" w:hAnsi="Tahoma" w:eastAsia="Times New Roman" w:cs="Tahoma"/>
      <w:sz w:val="16"/>
      <w:szCs w:val="16"/>
    </w:rPr>
  </w:style>
  <w:style w:type="character" w:styleId="Heading3Char" w:customStyle="1">
    <w:name w:val="Heading 3 Char"/>
    <w:basedOn w:val="DefaultParagraphFont"/>
    <w:link w:val="Heading3"/>
    <w:uiPriority w:val="9"/>
    <w:semiHidden/>
    <w:qFormat/>
    <w:rsid w:val="002022df"/>
    <w:rPr>
      <w:rFonts w:ascii="Cambria" w:hAnsi="Cambria" w:eastAsia="宋体" w:cs="" w:asciiTheme="majorHAnsi" w:cstheme="majorBidi" w:eastAsiaTheme="majorEastAsia" w:hAnsiTheme="majorHAnsi"/>
      <w:b/>
      <w:bCs/>
      <w:color w:themeColor="accent1" w:val="4F81BD"/>
      <w:sz w:val="24"/>
      <w:szCs w:val="24"/>
    </w:rPr>
  </w:style>
  <w:style w:type="character" w:styleId="FootnoteTextChar" w:customStyle="1">
    <w:name w:val="Footnote Text Char"/>
    <w:basedOn w:val="DefaultParagraphFont"/>
    <w:link w:val="FootnoteText"/>
    <w:uiPriority w:val="99"/>
    <w:qFormat/>
    <w:rsid w:val="00c26a40"/>
    <w:rPr>
      <w:rFonts w:ascii="Times New Roman" w:hAnsi="Times New Roman" w:eastAsia="Times New Roman" w:cs="Times New Roman"/>
      <w:sz w:val="20"/>
      <w:szCs w:val="20"/>
    </w:rPr>
  </w:style>
  <w:style w:type="character" w:styleId="FootnoteCharacters">
    <w:name w:val="Footnote Characters"/>
    <w:basedOn w:val="DefaultParagraphFont"/>
    <w:uiPriority w:val="99"/>
    <w:unhideWhenUsed/>
    <w:qFormat/>
    <w:rsid w:val="00c26a40"/>
    <w:rPr>
      <w:vertAlign w:val="superscript"/>
    </w:rPr>
  </w:style>
  <w:style w:type="character" w:styleId="FootnoteReference">
    <w:name w:val="Footnote Reference"/>
    <w:rPr>
      <w:vertAlign w:val="superscript"/>
    </w:rPr>
  </w:style>
  <w:style w:type="character" w:styleId="Heading2Char" w:customStyle="1">
    <w:name w:val="Heading 2 Char"/>
    <w:basedOn w:val="DefaultParagraphFont"/>
    <w:link w:val="Heading2"/>
    <w:uiPriority w:val="9"/>
    <w:semiHidden/>
    <w:qFormat/>
    <w:rsid w:val="00a663b6"/>
    <w:rPr>
      <w:rFonts w:ascii="Cambria" w:hAnsi="Cambria" w:eastAsia="宋体" w:cs="" w:asciiTheme="majorHAnsi" w:cstheme="majorBidi" w:eastAsiaTheme="majorEastAsia" w:hAnsiTheme="majorHAnsi"/>
      <w:color w:themeColor="accent1" w:themeShade="bf" w:val="365F91"/>
      <w:sz w:val="26"/>
      <w:szCs w:val="26"/>
    </w:rPr>
  </w:style>
  <w:style w:type="character" w:styleId="Heading6Char" w:customStyle="1">
    <w:name w:val="Heading 6 Char"/>
    <w:basedOn w:val="DefaultParagraphFont"/>
    <w:link w:val="Heading6"/>
    <w:uiPriority w:val="9"/>
    <w:semiHidden/>
    <w:qFormat/>
    <w:rsid w:val="00a663b6"/>
    <w:rPr>
      <w:rFonts w:ascii="Cambria" w:hAnsi="Cambria" w:eastAsia="宋体" w:cs="" w:asciiTheme="majorHAnsi" w:cstheme="majorBidi" w:eastAsiaTheme="majorEastAsia" w:hAnsiTheme="majorHAnsi"/>
      <w:color w:themeColor="accent1" w:themeShade="7f" w:val="243F60"/>
      <w:sz w:val="24"/>
      <w:szCs w:val="24"/>
    </w:rPr>
  </w:style>
  <w:style w:type="character" w:styleId="HeaderChar" w:customStyle="1">
    <w:name w:val="Header Char"/>
    <w:basedOn w:val="DefaultParagraphFont"/>
    <w:link w:val="Header"/>
    <w:uiPriority w:val="99"/>
    <w:qFormat/>
    <w:rsid w:val="00a663b6"/>
    <w:rPr>
      <w:rFonts w:ascii="Times New Roman" w:hAnsi="Times New Roman" w:eastAsia="Times New Roman" w:cs="Times New Roman"/>
      <w:sz w:val="24"/>
      <w:szCs w:val="24"/>
    </w:rPr>
  </w:style>
  <w:style w:type="character" w:styleId="CommentSubjectChar" w:customStyle="1">
    <w:name w:val="Comment Subject Char"/>
    <w:basedOn w:val="CommentTextChar"/>
    <w:link w:val="annotationsubject"/>
    <w:uiPriority w:val="99"/>
    <w:semiHidden/>
    <w:qFormat/>
    <w:rsid w:val="0003112d"/>
    <w:rPr>
      <w:rFonts w:ascii="Times New Roman" w:hAnsi="Times New Roman" w:eastAsia="Times New Roman" w:cs="Times New Roman"/>
      <w:b/>
      <w:bCs/>
      <w:sz w:val="20"/>
      <w:szCs w:val="20"/>
    </w:rPr>
  </w:style>
  <w:style w:type="character" w:styleId="FooterChar" w:customStyle="1">
    <w:name w:val="Footer Char"/>
    <w:basedOn w:val="DefaultParagraphFont"/>
    <w:link w:val="Footer"/>
    <w:uiPriority w:val="99"/>
    <w:qFormat/>
    <w:rsid w:val="00a57825"/>
    <w:rPr>
      <w:rFonts w:ascii="Times New Roman" w:hAnsi="Times New Roman" w:eastAsia="Times New Roman" w:cs="Times New Roman"/>
      <w:sz w:val="24"/>
      <w:szCs w:val="24"/>
    </w:rPr>
  </w:style>
  <w:style w:type="character" w:styleId="ListParagraphChar" w:customStyle="1">
    <w:name w:val="List Paragraph Char"/>
    <w:link w:val="ListParagraph"/>
    <w:uiPriority w:val="34"/>
    <w:qFormat/>
    <w:rsid w:val="00131b92"/>
    <w:rPr>
      <w:rFonts w:ascii="Times New Roman" w:hAnsi="Times New Roman" w:eastAsia="Times New Roman" w:cs="Times New Roman"/>
      <w:sz w:val="24"/>
      <w:szCs w:val="24"/>
    </w:rPr>
  </w:style>
  <w:style w:type="character" w:styleId="EndnoteTextChar" w:customStyle="1">
    <w:name w:val="Endnote Text Char"/>
    <w:basedOn w:val="DefaultParagraphFont"/>
    <w:link w:val="EndnoteText"/>
    <w:uiPriority w:val="99"/>
    <w:semiHidden/>
    <w:qFormat/>
    <w:rsid w:val="008450b0"/>
    <w:rPr>
      <w:rFonts w:ascii="Times New Roman" w:hAnsi="Times New Roman" w:eastAsia="Times New Roman" w:cs="Times New Roman"/>
      <w:sz w:val="20"/>
      <w:szCs w:val="20"/>
    </w:rPr>
  </w:style>
  <w:style w:type="character" w:styleId="EndnoteCharacters">
    <w:name w:val="Endnote Characters"/>
    <w:basedOn w:val="DefaultParagraphFont"/>
    <w:uiPriority w:val="99"/>
    <w:semiHidden/>
    <w:unhideWhenUsed/>
    <w:qFormat/>
    <w:rsid w:val="008450b0"/>
    <w:rPr>
      <w:vertAlign w:val="superscript"/>
    </w:rPr>
  </w:style>
  <w:style w:type="character" w:styleId="EndnoteReference">
    <w:name w:val="Endnote Reference"/>
    <w:rPr>
      <w:vertAlign w:val="superscrip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nnotationText">
    <w:name w:val="Annotation Text"/>
    <w:basedOn w:val="Normal"/>
    <w:link w:val="CommentTextChar"/>
    <w:semiHidden/>
    <w:rsid w:val="00543ab2"/>
    <w:pPr/>
    <w:rPr>
      <w:sz w:val="20"/>
      <w:szCs w:val="20"/>
    </w:rPr>
  </w:style>
  <w:style w:type="paragraph" w:styleId="BalloonText">
    <w:name w:val="Balloon Text"/>
    <w:basedOn w:val="Normal"/>
    <w:link w:val="BalloonTextChar"/>
    <w:uiPriority w:val="99"/>
    <w:semiHidden/>
    <w:unhideWhenUsed/>
    <w:qFormat/>
    <w:rsid w:val="00543ab2"/>
    <w:pPr/>
    <w:rPr>
      <w:rFonts w:ascii="Tahoma" w:hAnsi="Tahoma" w:cs="Tahoma"/>
      <w:sz w:val="16"/>
      <w:szCs w:val="16"/>
    </w:rPr>
  </w:style>
  <w:style w:type="paragraph" w:styleId="ListParagraph">
    <w:name w:val="List Paragraph"/>
    <w:basedOn w:val="Normal"/>
    <w:link w:val="ListParagraphChar"/>
    <w:uiPriority w:val="34"/>
    <w:qFormat/>
    <w:rsid w:val="002022df"/>
    <w:pPr>
      <w:spacing w:before="0" w:after="0"/>
      <w:ind w:left="720"/>
      <w:contextualSpacing/>
    </w:pPr>
    <w:rPr/>
  </w:style>
  <w:style w:type="paragraph" w:styleId="BlockText">
    <w:name w:val="Block Text"/>
    <w:basedOn w:val="Normal"/>
    <w:unhideWhenUsed/>
    <w:qFormat/>
    <w:rsid w:val="002022df"/>
    <w:pPr>
      <w:ind w:left="1440" w:right="1505"/>
      <w:jc w:val="both"/>
    </w:pPr>
    <w:rPr>
      <w:rFonts w:ascii="Courier New" w:hAnsi="Courier New"/>
      <w:sz w:val="26"/>
      <w:szCs w:val="20"/>
    </w:rPr>
  </w:style>
  <w:style w:type="paragraph" w:styleId="FootnoteText">
    <w:name w:val="Footnote Text"/>
    <w:basedOn w:val="Normal"/>
    <w:link w:val="FootnoteTextChar"/>
    <w:uiPriority w:val="99"/>
    <w:unhideWhenUsed/>
    <w:rsid w:val="00c26a40"/>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rsid w:val="00a663b6"/>
    <w:pPr>
      <w:tabs>
        <w:tab w:val="clear" w:pos="720"/>
        <w:tab w:val="center" w:pos="4320" w:leader="none"/>
        <w:tab w:val="right" w:pos="8640" w:leader="none"/>
      </w:tabs>
    </w:pPr>
    <w:rPr/>
  </w:style>
  <w:style w:type="paragraph" w:styleId="annotationsubject">
    <w:name w:val="annotation subject"/>
    <w:basedOn w:val="AnnotationText"/>
    <w:next w:val="AnnotationText"/>
    <w:link w:val="CommentSubjectChar"/>
    <w:uiPriority w:val="99"/>
    <w:semiHidden/>
    <w:unhideWhenUsed/>
    <w:qFormat/>
    <w:rsid w:val="0003112d"/>
    <w:pPr/>
    <w:rPr>
      <w:b/>
      <w:bCs/>
    </w:rPr>
  </w:style>
  <w:style w:type="paragraph" w:styleId="Revision">
    <w:name w:val="Revision"/>
    <w:uiPriority w:val="99"/>
    <w:semiHidden/>
    <w:qFormat/>
    <w:rsid w:val="0003112d"/>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Footer">
    <w:name w:val="Footer"/>
    <w:basedOn w:val="Normal"/>
    <w:link w:val="FooterChar"/>
    <w:uiPriority w:val="99"/>
    <w:unhideWhenUsed/>
    <w:rsid w:val="00a57825"/>
    <w:pPr>
      <w:tabs>
        <w:tab w:val="clear" w:pos="720"/>
        <w:tab w:val="center" w:pos="4680" w:leader="none"/>
        <w:tab w:val="right" w:pos="9360" w:leader="none"/>
      </w:tabs>
    </w:pPr>
    <w:rPr/>
  </w:style>
  <w:style w:type="paragraph" w:styleId="EndnoteText">
    <w:name w:val="Endnote Text"/>
    <w:basedOn w:val="Normal"/>
    <w:link w:val="EndnoteTextChar"/>
    <w:uiPriority w:val="99"/>
    <w:semiHidden/>
    <w:unhideWhenUsed/>
    <w:rsid w:val="008450b0"/>
    <w:pPr/>
    <w:rPr>
      <w:sz w:val="20"/>
      <w:szCs w:val="20"/>
    </w:rPr>
  </w:style>
  <w:style w:type="paragraph" w:styleId="TableParagraph" w:customStyle="1">
    <w:name w:val="Table Paragraph"/>
    <w:basedOn w:val="Normal"/>
    <w:uiPriority w:val="1"/>
    <w:qFormat/>
    <w:rsid w:val="004b0e9f"/>
    <w:pPr>
      <w:widowControl w:val="false"/>
      <w:ind w:left="107"/>
    </w:pPr>
    <w:rPr>
      <w:sz w:val="22"/>
      <w:szCs w:val="22"/>
      <w:u w:val="single" w:color="000000"/>
      <w:lang w:val="vi-VN"/>
    </w:rPr>
  </w:style>
  <w:style w:type="paragraph" w:styleId="Than" w:customStyle="1">
    <w:name w:val="Than"/>
    <w:basedOn w:val="Normal"/>
    <w:qFormat/>
    <w:rsid w:val="000f36c3"/>
    <w:pPr>
      <w:spacing w:before="120" w:after="0"/>
      <w:ind w:firstLine="567"/>
      <w:jc w:val="both"/>
    </w:pPr>
    <w:rPr>
      <w:rFonts w:ascii=".VnTime" w:hAnsi=".VnTime"/>
      <w:lang w:val="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06026B-520E-48BF-97F1-60012BCA8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Application>LibreOffice/24.2.7.2$Linux_X86_64 LibreOffice_project/420$Build-2</Application>
  <AppVersion>15.0000</AppVersion>
  <Pages>7</Pages>
  <Words>1072</Words>
  <Characters>3916</Characters>
  <CharactersWithSpaces>5026</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2026-07-28T04:09:00Z</dcterms:created>
  <dc:creator>Quach Ngoc Tuyen</dc:creator>
  <dc:description/>
  <dc:language>en-US</dc:language>
  <cp:lastModifiedBy/>
  <cp:lastPrinted>2026-07-28T02:25:00Z</cp:lastPrinted>
  <dcterms:modified xsi:type="dcterms:W3CDTF">2026-08-11T06:55:30Z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