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{{contract_no}}/PR.CI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{{contract_date}}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{{buyer_name}}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ADDRESS: {{buyer_address}}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{{incoterm}} – {{pod}}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{{containers}} x {{cont_type}}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{{grade}}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({{packing_desc}})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{{unit_price}}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{{amount_words}}.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{{payment}}.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{{#is_lc_payment}}The L/C draft must be opened within five (5) days from the contract signing date.{{/is_lc_payment}}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{{bank_account_name}}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{{bank_account_no}}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{{bank_full_name}}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{{bank_address}}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{{bank_swift}}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{{buyer_name}}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