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{{contract_no}}/PR.CI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{{contract_date}}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{{buyer_name}}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ADDRESS: {{buyer_address}}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{{incoterm}} – {{pod}}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{{containers}} x {{cont_type}}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{{grade}}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({{packing_desc}})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{{unit_price}}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{{amount_words}}.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{{payment}}. 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{{#is_lc_payment}}The L/C draft must be opened within five (5) days from the contract signing date.{{/is_lc_payment}}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Beneficiary’s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{{bank_account_name}}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{{bank_account_no}}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{{bank_full_name}}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{{bank_address}}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{{bank_swift}}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{{buyer_name}}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