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right"/>
      </w:pPr>
      <w:r>
        <w:rPr>
          <w:rFonts w:asciiTheme="majorHAnsi" w:hAnsiTheme="majorHAnsi"/>
          <w:bCs/>
          <w:i/>
          <w:iCs/>
          <w:color w:val="000000"/>
          <w:sz w:val="24"/>
          <w:szCs w:val="24"/>
          <w:lang w:val="vi-VN"/>
          <w:b/>
        </w:rPr>
        <w:t>No: {{contract_no}}/PR.CI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{{contract_date}}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{{buyer_name}}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{{buyer_address}}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{{buyer_phone}}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{{incoterm}} {{pol}}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{{containers}} x {{cont_type}}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{{grade}}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>
              <w:t>({{packing_desc}})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{{unit_price}}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{{amount_words}}.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left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{{payment}}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{{bank_account_name}}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{{bank_account_no}}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{{bank_full_name}}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{{bank_address}}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{{bank_swift}}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{{buyer_name}}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