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60" w:line="276" w:lineRule="auto"/>
        <w:jc w:val="center"/>
      </w:pPr>
      <w:r>
        <w:rPr>
          <w:rFonts w:ascii="Calibri" w:hAnsi="Calibri" w:eastAsia="微软雅黑"/>
          <w:b/>
          <w:color w:val="1F4E79"/>
          <w:sz w:val="36"/>
        </w:rPr>
        <w:t>温州龙湾农商行</w:t>
      </w:r>
    </w:p>
    <w:p>
      <w:pPr>
        <w:spacing w:before="0" w:after="80" w:line="276" w:lineRule="auto"/>
        <w:jc w:val="center"/>
      </w:pPr>
      <w:r>
        <w:rPr>
          <w:rFonts w:ascii="Calibri" w:hAnsi="Calibri" w:eastAsia="微软雅黑"/>
          <w:b/>
          <w:color w:val="1F4E79"/>
          <w:sz w:val="52"/>
        </w:rPr>
        <w:t>AI 智能体项目</w:t>
      </w:r>
    </w:p>
    <w:p>
      <w:pPr>
        <w:spacing w:before="0" w:after="600" w:line="276" w:lineRule="auto"/>
        <w:jc w:val="center"/>
      </w:pPr>
      <w:r>
        <w:rPr>
          <w:rFonts w:ascii="Calibri" w:hAnsi="Calibri" w:eastAsia="微软雅黑"/>
          <w:b/>
          <w:color w:val="1F1F1F"/>
          <w:sz w:val="48"/>
        </w:rPr>
        <w:t>技术标书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04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项目</w:t>
            </w:r>
          </w:p>
        </w:tc>
        <w:tc>
          <w:tcPr>
            <w:tcW w:type="dxa" w:w="6840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项目名称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温州龙湾农商行 AI 智能体项目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文件类型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技术标书 / 技术响应文件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适用场景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客群梳理、垂直管理、业务预警、查询分析、知识问答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编制依据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项目申报书、演示 Demo、银行一线经营管理需求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版本日期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2026 年 5 月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 w:line="269" w:lineRule="auto"/>
      </w:pPr>
      <w:r>
        <w:rPr>
          <w:rFonts w:ascii="Calibri" w:hAnsi="Calibri" w:eastAsia="微软雅黑"/>
          <w:b/>
          <w:color w:val="1F4E79"/>
          <w:sz w:val="32"/>
        </w:rPr>
        <w:t>目录</w:t>
      </w:r>
    </w:p>
    <w:p>
      <w:pPr>
        <w:spacing w:before="0" w:after="60" w:line="276" w:lineRule="auto"/>
      </w:pPr>
      <w:r>
        <w:rPr>
          <w:rFonts w:ascii="Calibri" w:hAnsi="Calibri" w:eastAsia="微软雅黑"/>
          <w:color w:val="1F1F1F"/>
          <w:sz w:val="23"/>
        </w:rPr>
        <w:t>一、项目理解与建设目标</w:t>
      </w:r>
    </w:p>
    <w:p>
      <w:pPr>
        <w:spacing w:before="0" w:after="60" w:line="276" w:lineRule="auto"/>
      </w:pPr>
      <w:r>
        <w:rPr>
          <w:rFonts w:ascii="Calibri" w:hAnsi="Calibri" w:eastAsia="微软雅黑"/>
          <w:color w:val="1F1F1F"/>
          <w:sz w:val="23"/>
        </w:rPr>
        <w:t>二、总体技术方案</w:t>
      </w:r>
    </w:p>
    <w:p>
      <w:pPr>
        <w:spacing w:before="0" w:after="60" w:line="276" w:lineRule="auto"/>
      </w:pPr>
      <w:r>
        <w:rPr>
          <w:rFonts w:ascii="Calibri" w:hAnsi="Calibri" w:eastAsia="微软雅黑"/>
          <w:color w:val="1F1F1F"/>
          <w:sz w:val="23"/>
        </w:rPr>
        <w:t>三、核心功能技术响应</w:t>
      </w:r>
    </w:p>
    <w:p>
      <w:pPr>
        <w:spacing w:before="0" w:after="60" w:line="276" w:lineRule="auto"/>
      </w:pPr>
      <w:r>
        <w:rPr>
          <w:rFonts w:ascii="Calibri" w:hAnsi="Calibri" w:eastAsia="微软雅黑"/>
          <w:color w:val="1F1F1F"/>
          <w:sz w:val="23"/>
        </w:rPr>
        <w:t>四、智能体能力设计</w:t>
      </w:r>
    </w:p>
    <w:p>
      <w:pPr>
        <w:spacing w:before="0" w:after="60" w:line="276" w:lineRule="auto"/>
      </w:pPr>
      <w:r>
        <w:rPr>
          <w:rFonts w:ascii="Calibri" w:hAnsi="Calibri" w:eastAsia="微软雅黑"/>
          <w:color w:val="1F1F1F"/>
          <w:sz w:val="23"/>
        </w:rPr>
        <w:t>五、数据架构与系统集成</w:t>
      </w:r>
    </w:p>
    <w:p>
      <w:pPr>
        <w:spacing w:before="0" w:after="60" w:line="276" w:lineRule="auto"/>
      </w:pPr>
      <w:r>
        <w:rPr>
          <w:rFonts w:ascii="Calibri" w:hAnsi="Calibri" w:eastAsia="微软雅黑"/>
          <w:color w:val="1F1F1F"/>
          <w:sz w:val="23"/>
        </w:rPr>
        <w:t>六、安全合规与运维保障</w:t>
      </w:r>
    </w:p>
    <w:p>
      <w:pPr>
        <w:spacing w:before="0" w:after="60" w:line="276" w:lineRule="auto"/>
      </w:pPr>
      <w:r>
        <w:rPr>
          <w:rFonts w:ascii="Calibri" w:hAnsi="Calibri" w:eastAsia="微软雅黑"/>
          <w:color w:val="1F1F1F"/>
          <w:sz w:val="23"/>
        </w:rPr>
        <w:t>七、实施计划、测试验收与交付物</w:t>
      </w:r>
    </w:p>
    <w:p>
      <w:pPr>
        <w:spacing w:before="0" w:after="60" w:line="276" w:lineRule="auto"/>
      </w:pPr>
      <w:r>
        <w:rPr>
          <w:rFonts w:ascii="Calibri" w:hAnsi="Calibri" w:eastAsia="微软雅黑"/>
          <w:color w:val="1F1F1F"/>
          <w:sz w:val="23"/>
        </w:rPr>
        <w:t>八、技术评分项建议</w:t>
      </w:r>
    </w:p>
    <w:p>
      <w:r>
        <w:br w:type="page"/>
      </w:r>
    </w:p>
    <w:p>
      <w:pPr>
        <w:pStyle w:val="Heading1"/>
        <w:spacing w:before="320" w:after="160" w:line="269" w:lineRule="auto"/>
      </w:pPr>
      <w:r>
        <w:rPr>
          <w:rFonts w:ascii="Calibri" w:hAnsi="Calibri" w:eastAsia="微软雅黑"/>
          <w:b/>
          <w:color w:val="1F4E79"/>
          <w:sz w:val="32"/>
        </w:rPr>
        <w:t>一、项目理解与建设目标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本项目面向温州龙湾农商行客户经理、支行管理人员及总行经营管理部门，建设以 AI 智能体为核心的数智化经营赋能平台。平台以自然语言交互为入口，以客户数据、业务规则、知识库和预警事件为基础，支持客户经营、网格管理、风险提示、绩效分析和政策问答等高频业务场景。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系统建设目标是将“客群梳理、垂直管理、业务预警、查询分析”四类需求转化为可操作、可追踪、可审计的数字化能力，使一线人员能够通过自然语言完成数据查询、名单生成、客户画像分析、风险预警处理和营销话术生成，满足银行精细化经营、穿透式管理和合规化运营要求。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144"/>
            <w:shd w:fill="EEF6FC"/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微软雅黑"/>
                <w:b/>
                <w:color w:val="1F4E79"/>
                <w:sz w:val="22"/>
              </w:rPr>
              <w:t>建设原则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F1F1F"/>
                <w:sz w:val="21"/>
              </w:rPr>
              <w:t>坚持业务可落地、数据可追溯、模型可管控、结果可解释、演示可验证、生产可扩展。现有 Demo 已验证自然语言指令、Agent 工具调用、结构化结果呈现、Excel/CSV 导出、预警处理和客户画像等关键路径，可作为后续生产化建设的原型基础。</w:t>
            </w:r>
          </w:p>
        </w:tc>
      </w:tr>
    </w:tbl>
    <w:p/>
    <w:p>
      <w:pPr>
        <w:pStyle w:val="Heading2"/>
        <w:spacing w:before="200" w:after="120" w:line="269" w:lineRule="auto"/>
      </w:pPr>
      <w:r>
        <w:rPr>
          <w:rFonts w:ascii="Calibri" w:hAnsi="Calibri" w:eastAsia="微软雅黑"/>
          <w:b/>
          <w:color w:val="1F4E79"/>
          <w:sz w:val="26"/>
        </w:rPr>
        <w:t>1.1 需求响应范围</w:t>
      </w:r>
    </w:p>
    <w:tbl>
      <w:tblPr>
        <w:tblStyle w:val="TableGrid"/>
        <w:tblW w:type="dxa" w:w="9143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00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业务方向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技术响应说明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客群梳理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支持按小区、网格、日均存款、抵押贷款、信用贷款、有效合同、未用信、他行有贷、征信更新等条件生成客户清单，并支持导出。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垂直管理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支持客户经理新引入客户、绩效维护人、本月新增存贷、标签客群贷款增长、排名与环比变化分析。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业务预警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支持存款到期、贷款到期、融资家数增长、融资金额上浮、新楼盘、网格变动、网点异常波动等预警识别与播报。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查询分析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支持客户身份检索、360 度画像、网格归属、走访记录、征信摘要、产品推荐、风险初判、政策问答和个性化话术生成。</w:t>
            </w:r>
          </w:p>
        </w:tc>
      </w:tr>
    </w:tbl>
    <w:p/>
    <w:p>
      <w:pPr>
        <w:pStyle w:val="Heading1"/>
        <w:spacing w:before="320" w:after="160" w:line="269" w:lineRule="auto"/>
      </w:pPr>
      <w:r>
        <w:rPr>
          <w:rFonts w:ascii="Calibri" w:hAnsi="Calibri" w:eastAsia="微软雅黑"/>
          <w:b/>
          <w:color w:val="1F4E79"/>
          <w:sz w:val="32"/>
        </w:rPr>
        <w:t>二、总体技术方案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平台采用“数据资源层—智能能力中台层—场景应用层”的分层架构。数据资源层负责整合核心系统、信贷系统、数据仓库、征信摘要、客户标签、产品政策、走访记录及预警事件；智能能力中台层封装语义解析、工具编排、规则引擎、RAG 知识问答、客户画像、报表导出等公共能力；场景应用层面向客户经理和管理人员提供统一工作台、管理驾驶舱、预警中心、查询分析和 Skill Center。</w:t>
      </w:r>
    </w:p>
    <w:tbl>
      <w:tblPr>
        <w:tblStyle w:val="TableGrid"/>
        <w:tblW w:type="dxa" w:w="9142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656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架构层级</w:t>
            </w:r>
          </w:p>
        </w:tc>
        <w:tc>
          <w:tcPr>
            <w:tcW w:type="dxa" w:w="4536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组成内容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作用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场景应用层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客户经理智能工作台、客群梳理、垂直管理、业务预警、查询分析、合规问答、技能中心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提供统一操作入口与可视化结果。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智能能力中台层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Agent 编排、语义解析、规则引擎、RAG 问答、客户画像、产品推荐、话术生成、导出服务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将用户意图转化为可执行工具调用。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数据资源层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客户主数据、账户与存贷数据、征信摘要、走访记录、预警事件、产品政策、知识文档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形成客户中心化数据模型和标签体系。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基础设施层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微服务、API 网关、PostgreSQL、MPP 分析库、向量数据库、对象存储、日志审计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支撑生产部署、扩展和运维。</w:t>
            </w:r>
          </w:p>
        </w:tc>
      </w:tr>
    </w:tbl>
    <w:p/>
    <w:p>
      <w:pPr>
        <w:pStyle w:val="Heading2"/>
        <w:spacing w:before="200" w:after="120" w:line="269" w:lineRule="auto"/>
      </w:pPr>
      <w:r>
        <w:rPr>
          <w:rFonts w:ascii="Calibri" w:hAnsi="Calibri" w:eastAsia="微软雅黑"/>
          <w:b/>
          <w:color w:val="1F4E79"/>
          <w:sz w:val="26"/>
        </w:rPr>
        <w:t>2.1 Demo 技术基线与生产化演进路线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现有演示 Demo 采用 Next.js App Router + Node.js API Routes 作为前后端一体化原型架构，后端能力包括 SSE 流式接口、Agent 工具编排、本地 SQLite 数据服务、Excel/CSV 导出服务和企业微信推送模拟接口。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Demo 中 AI Agent 采用“自然语言理解—工具调用—结构化结果返回”的方式运行，已验证客户筛选、预警扫描、客户画像、报告生成、数据导出、话术生成和知识问答等关键链路。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正式生产建设阶段建议在保留 Demo 业务交互和 Agent 编排模式的基础上，结合银行现有技术规范演进为可独立部署的服务化架构。后端可采用 Spring Cloud、Java 微服务或行内已有微服务框架，将客户服务、规则服务、预警服务、知识问答服务、报表导出服务、权限审计服务等模块拆分。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AI 能力采用国产大模型或 OpenAI-Compatible 模型接口，支持 DeepSeek、通义千问、私有化模型网关等接入方式，避免单一模型绑定。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知识问答采用 RAG 架构，使用向量数据库存储政策制度、产品手册、合规要求和操作规范，答案必须关联来源文件。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分析查询场景可引入 MPP 分析数据库或数据仓库加速层，对常用指标进行预计算，满足复杂条件组合下的查询性能要求。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前端采用现代化 Web 技术构建响应式工作台，现有 Demo 已基于 Next.js、React、流式交互和结构化组件验证用户体验；生产阶段可继续沿用该交互形态，也可按行内前端技术规范迁移实现。</w:t>
      </w:r>
    </w:p>
    <w:p>
      <w:pPr>
        <w:pStyle w:val="Heading1"/>
        <w:spacing w:before="320" w:after="160" w:line="269" w:lineRule="auto"/>
      </w:pPr>
      <w:r>
        <w:rPr>
          <w:rFonts w:ascii="Calibri" w:hAnsi="Calibri" w:eastAsia="微软雅黑"/>
          <w:b/>
          <w:color w:val="1F4E79"/>
          <w:sz w:val="32"/>
        </w:rPr>
        <w:t>三、核心功能技术响应</w:t>
      </w:r>
    </w:p>
    <w:p>
      <w:pPr>
        <w:pStyle w:val="Heading2"/>
        <w:spacing w:before="200" w:after="120" w:line="269" w:lineRule="auto"/>
      </w:pPr>
      <w:r>
        <w:rPr>
          <w:rFonts w:ascii="Calibri" w:hAnsi="Calibri" w:eastAsia="微软雅黑"/>
          <w:b/>
          <w:color w:val="1F4E79"/>
          <w:sz w:val="26"/>
        </w:rPr>
        <w:t>3.1 客群智能梳理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系统支持客户经理使用业务口语直接提出客群筛选需求，例如“梳理某小区中日均存款大于 1 万元的客户清单”“梳理我行无贷、他行有贷客户清单”。智能体解析用户意图后，将自然语言映射为标准化查询条件，并调用客户查询工具获取结果。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支持多条件组合筛选：小区、网格、客户标签、存款余额、贷款余额、合同状态、用信状态、征信更新时间等。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支持结果字段标准化展示：客户名称、证件脱敏号、联系方式脱敏号、联系地址、所属网格、客户经理、存贷信息等。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支持一键导出 Excel 或 CSV，满足名单下发、客户跟进和经营分析需要。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支持预置模板与自定义查询并存，兼顾固定经营动作和临时分析需求。</w:t>
      </w:r>
    </w:p>
    <w:p>
      <w:pPr>
        <w:pStyle w:val="Heading2"/>
        <w:spacing w:before="200" w:after="120" w:line="269" w:lineRule="auto"/>
      </w:pPr>
      <w:r>
        <w:rPr>
          <w:rFonts w:ascii="Calibri" w:hAnsi="Calibri" w:eastAsia="微软雅黑"/>
          <w:b/>
          <w:color w:val="1F4E79"/>
          <w:sz w:val="26"/>
        </w:rPr>
        <w:t>3.2 垂直管理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系统支持支行和总行对客户经理经营过程进行穿透式管理。通过导入客户清单、维护网格规则、识别客户归属和绩效维护人，系统可自动生成客户经理维度的新增客户、新增存贷、标签客群拓展、排名及环比变化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支持依据“机构—网格—客户经理”规则自动分配客户，减少人工拆分和漏分。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支持客户经理月度绩效看板，展示新增客户数、新增存款、新增贷款、维护得分和环比变化。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支持标注贷款增量前十、存款增长排名、重点标签客户拓展情况，满足管理驾驶舱需求。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支持从全行、支行、网格、客户经理多层级钻取分析。</w:t>
      </w:r>
    </w:p>
    <w:p>
      <w:pPr>
        <w:pStyle w:val="Heading2"/>
        <w:spacing w:before="200" w:after="120" w:line="269" w:lineRule="auto"/>
      </w:pPr>
      <w:r>
        <w:rPr>
          <w:rFonts w:ascii="Calibri" w:hAnsi="Calibri" w:eastAsia="微软雅黑"/>
          <w:b/>
          <w:color w:val="1F4E79"/>
          <w:sz w:val="26"/>
        </w:rPr>
        <w:t>3.3 业务预警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系统支持围绕客户生命周期和经营管理指标建立主动预警机制。对于存款到期、贷款到期、融资家数增长、融资金额异常上浮、新楼盘、网格变动、网点存贷款异常波动等事件，系统可根据规则自动识别并生成处理建议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支持固定周期预警，如存款到期、贷款到期提前半个月提醒客户经理对接。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支持规则类异常预警，如融资金额增加 30 万元以上、融资家数增长、网点指标非正常波动等。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支持预警等级、状态流转、详情查看、处理建议和话术生成。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支持与企业微信等协同平台对接，将风险或机会线索推送至对应客户经理。</w:t>
      </w:r>
    </w:p>
    <w:p>
      <w:pPr>
        <w:pStyle w:val="Heading2"/>
        <w:spacing w:before="200" w:after="120" w:line="269" w:lineRule="auto"/>
      </w:pPr>
      <w:r>
        <w:rPr>
          <w:rFonts w:ascii="Calibri" w:hAnsi="Calibri" w:eastAsia="微软雅黑"/>
          <w:b/>
          <w:color w:val="1F4E79"/>
          <w:sz w:val="26"/>
        </w:rPr>
        <w:t>3.4 查询分析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系统支持通过客户姓名、身份证号片段、手机号片段、客户编号等关键信息查询客户 360 度画像，集中展示客户基础信息、资产负债、网格归属、走访记录、征信摘要、风险信号、准入结论和产品推荐。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支持客户全景视图，帮助客户经理快速掌握客户基本情况和经营价值。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支持结合风险偏好、资金流动性、存贷款记录和征信摘要生成存款或贷款产品推荐。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支持根据历史数据和五级分类生成个性化营销、催收、续存或转介绍话术。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支持 AI 实时问答助手，回答贷款政策、利率、准入、合规要求等问题，并返回来源文件。</w:t>
      </w:r>
    </w:p>
    <w:p>
      <w:pPr>
        <w:pStyle w:val="Heading1"/>
        <w:spacing w:before="320" w:after="160" w:line="269" w:lineRule="auto"/>
      </w:pPr>
      <w:r>
        <w:rPr>
          <w:rFonts w:ascii="Calibri" w:hAnsi="Calibri" w:eastAsia="微软雅黑"/>
          <w:b/>
          <w:color w:val="1F4E79"/>
          <w:sz w:val="32"/>
        </w:rPr>
        <w:t>四、智能体能力设计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智能体采用“意图识别—工具选择—参数抽取—工具执行—结果总结—结构化展示”的运行机制。模型不直接编造业务结果，而是根据用户指令调用受控工具，由工具从数据库、规则引擎或知识库中获取确定性结果，再由模型生成简洁业务结论。</w:t>
      </w:r>
    </w:p>
    <w:tbl>
      <w:tblPr>
        <w:tblStyle w:val="TableGrid"/>
        <w:tblW w:type="dxa" w:w="9143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00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能力环节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技术说明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意图识别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识别用户属于客群梳理、垂直管理、预警扫描、客户分析、报告生成、数据导出或知识问答。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工具调用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调用 filterCustomers、scanAlerts、analyzeCustomer、generateReport、exportData、queryDatabase 等受控工具。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结构化结果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根据工具返回类型展示表格、预警卡片、客户画像、报告文本、文件下载链接等。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技能加载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支持风控视角、合规审查、简报模式、营销话术、支行管理视角等可插拔技能提示。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流式交互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支持执行步骤和回答内容流式展示，提高一线人员等待体验和任务透明度。</w:t>
            </w:r>
          </w:p>
        </w:tc>
      </w:tr>
    </w:tbl>
    <w:p/>
    <w:p>
      <w:pPr>
        <w:pStyle w:val="Heading2"/>
        <w:spacing w:before="200" w:after="120" w:line="269" w:lineRule="auto"/>
      </w:pPr>
      <w:r>
        <w:rPr>
          <w:rFonts w:ascii="Calibri" w:hAnsi="Calibri" w:eastAsia="微软雅黑"/>
          <w:b/>
          <w:color w:val="1F4E79"/>
          <w:sz w:val="26"/>
        </w:rPr>
        <w:t>4.1 RAG 知识问答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知识问答模块采用检索增强生成技术。系统先在行内知识库中检索相关制度、产品说明、利率政策、合规要求和操作手册，再将检索结果提供给大模型生成回答。回答内容应附带来源文件、条款或文档标题，满足可追溯和可复核要求。</w:t>
      </w:r>
    </w:p>
    <w:p>
      <w:pPr>
        <w:pStyle w:val="Heading2"/>
        <w:spacing w:before="200" w:after="120" w:line="269" w:lineRule="auto"/>
      </w:pPr>
      <w:r>
        <w:rPr>
          <w:rFonts w:ascii="Calibri" w:hAnsi="Calibri" w:eastAsia="微软雅黑"/>
          <w:b/>
          <w:color w:val="1F4E79"/>
          <w:sz w:val="26"/>
        </w:rPr>
        <w:t>4.2 模型安全边界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模型仅负责意图理解、参数抽取和自然语言表达，关键业务数据由系统工具和数据库返回。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涉及授信、风险评级、催收和合规判断时，系统提示必须标明 AI 辅助属性，并要求客户经理人工复核。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敏感字段默认脱敏展示，严禁输出完整身份证号、手机号、银行卡号等敏感个人信息。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所有工具调用、用户提问、模型回答、导出动作和预警处理均应记录审计日志。</w:t>
      </w:r>
    </w:p>
    <w:p>
      <w:pPr>
        <w:pStyle w:val="Heading1"/>
        <w:spacing w:before="320" w:after="160" w:line="269" w:lineRule="auto"/>
      </w:pPr>
      <w:r>
        <w:rPr>
          <w:rFonts w:ascii="Calibri" w:hAnsi="Calibri" w:eastAsia="微软雅黑"/>
          <w:b/>
          <w:color w:val="1F4E79"/>
          <w:sz w:val="32"/>
        </w:rPr>
        <w:t>五、数据架构与系统集成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系统建设应围绕客户中心化数据模型展开，统一整合客户基础信息、账户资产、贷款余额、合同信息、用信情况、征信摘要、走访记录、网格归属、客户经理维护关系、业务预警和产品知识。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数据/集成组件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建议选型</w:t>
            </w:r>
          </w:p>
        </w:tc>
        <w:tc>
          <w:tcPr>
            <w:tcW w:type="dxa" w:w="4392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关系型数据库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PostgreSQL 或同等级数据库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存储系统配置、用户权限、客户关系、规则配置、预警事件、操作日志。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分析型数据库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MPP / 数据仓库 / 数据集市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支撑多表关联、复杂筛选、指标聚合和经营看板。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向量数据库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Milvus、pgvector 或同等级组件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存储制度文档、产品手册、合规知识的向量索引。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对象存储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行内文件服务或对象存储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存储导出文件、知识文档、测试报告和模型评估材料。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消息与集成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API 网关、消息队列、企业微信接口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支持预警播报、系统集成和异步任务处理。</w:t>
            </w:r>
          </w:p>
        </w:tc>
      </w:tr>
    </w:tbl>
    <w:p/>
    <w:p>
      <w:pPr>
        <w:pStyle w:val="Heading2"/>
        <w:spacing w:before="200" w:after="120" w:line="269" w:lineRule="auto"/>
      </w:pPr>
      <w:r>
        <w:rPr>
          <w:rFonts w:ascii="Calibri" w:hAnsi="Calibri" w:eastAsia="微软雅黑"/>
          <w:b/>
          <w:color w:val="1F4E79"/>
          <w:sz w:val="26"/>
        </w:rPr>
        <w:t>5.1 数据质量与权限控制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建立客户主数据唯一标识，避免同名客户、跨网格客户和历史归属变更导致结果不一致。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按总行、支行、网格、客户经理角色控制数据可见范围，确保客户经理仅查看授权客户和授权字段。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对导出操作设置权限、审批或水印策略，避免客户清单被非授权下载。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建立数据口径管理机制，对日均存款、新增贷款、有效客户、扩中客群等指标统一定义。</w:t>
      </w:r>
    </w:p>
    <w:p>
      <w:pPr>
        <w:pStyle w:val="Heading1"/>
        <w:spacing w:before="320" w:after="160" w:line="269" w:lineRule="auto"/>
      </w:pPr>
      <w:r>
        <w:rPr>
          <w:rFonts w:ascii="Calibri" w:hAnsi="Calibri" w:eastAsia="微软雅黑"/>
          <w:b/>
          <w:color w:val="1F4E79"/>
          <w:sz w:val="32"/>
        </w:rPr>
        <w:t>六、安全合规与运维保障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平台建设应满足银行信息安全、数据安全和合规审计要求。系统需支持私有化部署或专有网络部署，大模型访问需通过模型网关或行内授权通道进行统一管理。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身份认证：支持统一身份认证、角色权限、菜单权限、数据权限和接口权限控制。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数据安全：敏感字段脱敏展示，导出文件可记录操作人、时间、查询条件和下载来源。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模型安全：支持提示词模板管理、敏感词过滤、答案来源约束、人工复核提示和模型调用审计。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运行监控：支持接口耗时、模型调用成功率、工具调用失败率、预警推送状态、导出任务状态监控。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高可用设计：关键服务支持水平扩展，异步任务和预警推送支持失败重试。</w:t>
      </w:r>
    </w:p>
    <w:p>
      <w:pPr>
        <w:pStyle w:val="Heading2"/>
        <w:spacing w:before="200" w:after="120" w:line="269" w:lineRule="auto"/>
      </w:pPr>
      <w:r>
        <w:rPr>
          <w:rFonts w:ascii="Calibri" w:hAnsi="Calibri" w:eastAsia="微软雅黑"/>
          <w:b/>
          <w:color w:val="1F4E79"/>
          <w:sz w:val="26"/>
        </w:rPr>
        <w:t>6.1 性能指标响应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04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指标项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响应内容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常规查询响应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单表或简单聚合查询平均响应时间不高于 3 秒。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复杂查询响应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多表关联、复杂条件组合查询平均响应时间不高于 10 秒。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任务成功率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有效用户提问的智能体任务成功解决率不低于 85%。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语义解析准确率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封闭测试集自然语言到查询条件转换准确率不低于 85%。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导出能力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支持客户、经理、预警等清单导出为 Excel 或 CSV，导出字段可配置。</w:t>
            </w:r>
          </w:p>
        </w:tc>
      </w:tr>
    </w:tbl>
    <w:p/>
    <w:p>
      <w:pPr>
        <w:pStyle w:val="Heading1"/>
        <w:spacing w:before="320" w:after="160" w:line="269" w:lineRule="auto"/>
      </w:pPr>
      <w:r>
        <w:rPr>
          <w:rFonts w:ascii="Calibri" w:hAnsi="Calibri" w:eastAsia="微软雅黑"/>
          <w:b/>
          <w:color w:val="1F4E79"/>
          <w:sz w:val="32"/>
        </w:rPr>
        <w:t>七、实施计划、测试验收与交付物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项目实施建议采用“原型验证—接口联调—试点运行—优化推广”的阶段化方式推进。现有 Demo 可作为需求澄清和用户体验验证基础，后续围绕真实数据接入、权限控制、知识库建设和生产化部署逐步完善。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阶段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主要工作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成果物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第一阶段：需求确认与方案细化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梳理数据源、指标口径、权限范围、预警规则、知识文档目录和验收样例。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需求规格说明、详细设计方案。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第二阶段：核心能力开发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完成客群梳理、垂直管理、预警中心、查询分析、知识问答、导出服务等核心模块。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可联调系统、接口文档、测试用例。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第三阶段：数据接入与试点运行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接入试点数据，完成权限配置、规则配置、知识库导入和用户试用反馈。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试点报告、问题清单、优化版本。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第四阶段：验收交付与培训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完成性能测试、功能验收、安全检查、用户培训和运维交接。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验收报告、部署说明、用户手册、培训材料。</w:t>
            </w:r>
          </w:p>
        </w:tc>
      </w:tr>
    </w:tbl>
    <w:p/>
    <w:p>
      <w:pPr>
        <w:pStyle w:val="Heading2"/>
        <w:spacing w:before="200" w:after="120" w:line="269" w:lineRule="auto"/>
      </w:pPr>
      <w:r>
        <w:rPr>
          <w:rFonts w:ascii="Calibri" w:hAnsi="Calibri" w:eastAsia="微软雅黑"/>
          <w:b/>
          <w:color w:val="1F4E79"/>
          <w:sz w:val="26"/>
        </w:rPr>
        <w:t>7.1 测试验收建议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功能验收：按功能需求清单逐项验证自然语言查询、结构化展示、清单导出、预警处理、客户画像、知识问答和话术生成。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准确性验收：建立封闭测试集，对语义解析、查询结果、知识问答来源、产品推荐逻辑进行抽样核验。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性能验收：对常规查询、复杂查询、并发访问、导出任务和预警推送进行压力测试。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微软雅黑"/>
          <w:color w:val="1F1F1F"/>
          <w:sz w:val="22"/>
        </w:rPr>
        <w:t>安全验收：检查权限隔离、敏感字段脱敏、审计日志、导出控制和模型输出合规提示。</w:t>
      </w:r>
    </w:p>
    <w:p>
      <w:pPr>
        <w:pStyle w:val="Heading1"/>
        <w:spacing w:before="320" w:after="160" w:line="269" w:lineRule="auto"/>
      </w:pPr>
      <w:r>
        <w:rPr>
          <w:rFonts w:ascii="Calibri" w:hAnsi="Calibri" w:eastAsia="微软雅黑"/>
          <w:b/>
          <w:color w:val="1F4E79"/>
          <w:sz w:val="32"/>
        </w:rPr>
        <w:t>八、技术评分项建议</w:t>
      </w:r>
    </w:p>
    <w:p>
      <w:pPr>
        <w:spacing w:before="0" w:after="120" w:line="283" w:lineRule="auto"/>
      </w:pPr>
      <w:r>
        <w:rPr>
          <w:rFonts w:ascii="Calibri" w:hAnsi="Calibri" w:eastAsia="微软雅黑"/>
          <w:color w:val="1F1F1F"/>
          <w:sz w:val="22"/>
        </w:rPr>
        <w:t>以下评分项建议用于技术标评审，满分 100 分。评分设置以项目实际落地能力为导向，避免设置过高或排他性门槛，同时兼顾智能体效果、银行业务适配、数据安全和交付保障。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评分项</w:t>
            </w:r>
          </w:p>
        </w:tc>
        <w:tc>
          <w:tcPr>
            <w:tcW w:type="dxa" w:w="864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分值</w:t>
            </w:r>
          </w:p>
        </w:tc>
        <w:tc>
          <w:tcPr>
            <w:tcW w:type="dxa" w:w="6048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评分说明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需求理解与业务适配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10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评分说明：理解客群梳理、垂直管理、业务预警、查询分析四类需求；能结合银行客户经理和管理人员工作流程说明方案。证明方式：提供需求响应矩阵。扣分规则：缺少一类核心需求响应的，每项扣 1-2 分；无法对应银行实际岗位流程的，酌情扣 1-3 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总体技术架构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15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评分说明：架构分层清晰，支持 Demo 原型架构与生产化服务架构衔接，覆盖数据资源、AI 能力中台、场景应用和安全运维。证明方式：提供总体架构设计图。扣分规则：架构层级不完整的，扣 2-5 分；未说明 Demo 与生产化演进关系的，扣 1-3 分；关键组件职责不清的，扣 1-3 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核心功能覆盖度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20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评分说明：对功能需求清单中主要场景有明确响应，包括客户筛选、名单导出、绩效分析、预警播报、客户画像、知识问答和话术生成。证明方式：提供功能页面截图。扣分规则：每缺少一项主要业务闭环扣 2-3 分；仅文字描述、无可验证页面或原型的，酌情扣 2-5 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智能体与 RAG 能力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15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评分说明：具备自然语言意图识别、工具调用、结构化输出、知识检索增强、答案来源追溯和人工复核提示能力。证明方式：提供关键代码片段或接口调用示例。扣分规则：未体现工具调用链路的，扣 3-5 分；未体现知识来源追溯的，扣 2-4 分；缺少人工复核或合规提示机制的，扣 1-3 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数据治理与系统集成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10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评分说明：说明客户中心化数据模型、指标口径、数据质量、数据库选型、企业微信或行内系统集成方式。证明方式：提供数据模型或系统集成关系图。扣分规则：未说明核心数据实体和指标口径的，扣 2-4 分；未说明外部系统集成方式的，扣 1-3 分；数据质量控制描述不足的，扣 1-2 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安全合规与审计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10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评分说明：具备权限控制、敏感信息脱敏、导出审计、模型调用审计、合规提示和日志留存方案。证明方式：提供安全控制清单。扣分规则：缺少权限或脱敏设计的，扣 2-4 分；缺少导出和模型调用审计的，扣 2-3 分；合规提示和日志留存说明不足的，扣 1-3 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性能与稳定性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8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评分说明：响应指标合理，支持常规查询 ≤3 秒、复杂查询 ≤10 秒、失败重试、监控告警和高可用部署。证明方式：提供测试报告或压测结果摘要。扣分规则：未提供性能指标说明的，扣 2-3 分；未说明失败重试和监控告警的，扣 1-3 分；高可用部署描述不足的，扣 1-2 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实施交付与培训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7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评分说明：实施计划清晰，交付物完整，包含测试、验收、培训、运维交接和试点推广安排。证明方式：提供实施计划甘特图或阶段计划表。扣分规则：阶段计划不清晰的，扣 1-2 分；交付物不完整的，扣 1-3 分；缺少培训或运维交接安排的，扣 1-2 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演示与原型验证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评分说明：能够提供可运行 Demo 或原型，演示主要业务闭环，便于银行用户提前验证操作体验。证明方式：提供可访问 Demo 地址或现场演示截图。扣分规则：无法提供可运行原型的，扣 3-5 分；仅能演示单点功能、无法形成业务闭环的，扣 1-3 分。</w:t>
            </w:r>
          </w:p>
        </w:tc>
      </w:tr>
    </w:tbl>
    <w:p/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144"/>
            <w:shd w:fill="EEF6FC"/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微软雅黑"/>
                <w:b/>
                <w:color w:val="1F4E79"/>
                <w:sz w:val="22"/>
              </w:rPr>
              <w:t>评分项设置说明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F1F1F"/>
                <w:sz w:val="21"/>
              </w:rPr>
              <w:t>上述评分项强调可落地能力和银行业务匹配度，不以特定厂商、特定模型或特定数据库作为排他条件。投标人可采用同等级、安全可控、满足性能与合规要求的技术组件进行响应。</w:t>
            </w:r>
          </w:p>
        </w:tc>
      </w:tr>
    </w:tbl>
    <w:p/>
    <w:p>
      <w:pPr>
        <w:pStyle w:val="Heading1"/>
        <w:spacing w:before="320" w:after="160" w:line="269" w:lineRule="auto"/>
      </w:pPr>
      <w:r>
        <w:rPr>
          <w:rFonts w:ascii="Calibri" w:hAnsi="Calibri" w:eastAsia="微软雅黑"/>
          <w:b/>
          <w:color w:val="1F4E79"/>
          <w:sz w:val="32"/>
        </w:rPr>
        <w:t>附：Demo 已验证能力对应关系</w:t>
      </w:r>
    </w:p>
    <w:tbl>
      <w:tblPr>
        <w:tblStyle w:val="TableGrid"/>
        <w:tblW w:type="dxa" w:w="9144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944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Demo 模块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1F1F1F"/>
                <w:sz w:val="21"/>
              </w:rPr>
              <w:t>已验证内容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AI 工作台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自然语言输入、执行步骤 Timeline、流式回答、多会话本地保存、技能加载。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Agent 工具链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客户筛选、预警扫描、客户画像、调查报告、数据导出、话术生成、数据库查询。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客群梳理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预置模板、自定义条件、表格搜索排序分页、Excel/CSV 导出。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垂直管理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客户经理排名、月度绩效、导入清单、AI 自动分配演示。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业务预警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预警卡片、详情抽屉、状态流转、处理建议、企业微信推送模拟。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查询分析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客户 360 度画像、风险信号、准入结果、现金流分析、产品推荐、报告和话术。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知识问答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微软雅黑"/>
                <w:b w:val="0"/>
                <w:color w:val="1F1F1F"/>
                <w:sz w:val="20"/>
              </w:rPr>
              <w:t>贷款政策、合规要求、利率调整等问答，并返回来源线索。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595959"/>
        <w:sz w:val="18"/>
      </w:rPr>
      <w:t>技术响应文件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595959"/>
        <w:sz w:val="18"/>
      </w:rPr>
      <w:t>温州龙湾农商行 AI 智能体项目技术标书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温州龙湾农商行AI智能体项目技术标书</dc:title>
  <dc:subject>AI智能体项目技术响应文件</dc:subject>
  <dc:creator>中科视语（北京）科技有限公司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