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No 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No 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  (221)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 (11)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Start-up, expand, capture market share of NTC customer: Prioritize Precision -&gt; increase prob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corp, we have enough market share, our credit line is high, so if someone charges-off, then we lose a lot. So we have to priority Recall here -&gt; decrease prob threshold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True Positives (TP)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6 → correctly identified charge-offs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False Negatives (FN)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4 → charge-offs you missed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False Positives (FP)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5 → falsely labeled good customers as bad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True Negatives (TN)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85 → correctly identified good customers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Accuracy: Overall Correct Prediction : (6+85)/100 = 91%   221+5 / 251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Recall: Of all actual charge-offs, how many did we catch: 6 / (6+4) = 60%  ( 5/(5+11)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Precision = of predicted charge-offs, how many were right: 6 / (6+5) = 55%  (5/5+14)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F1-score: 2*(Precision*Recall) / (Precision+Recall) = 2 * (0.6*0.55) / (0.6+0.55)= 57%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based all feature attributes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A: 60% that will charge-off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B: 35%  that will charge-off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C: 45%  that will charge-off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D:  49%  that will charge-off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Default 50%: Flag A as Predicted CO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30%: Flag A,B,C,D as Predicted CO: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 based all feature attributes : for every application that has PD higher than 50% then assigned them as predicted 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B: 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C: 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D: 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 based all feature attributes : for every application that has PD higher than 30% then assigned them as predicted 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B: 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C: 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D: 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