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tuxvh2fms6s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  <w:t xml:space="preserve">Drop original features if the new ones outperform them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0dewljls5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Outlier Detection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vmwais2c8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Outliers can distort model learning and metrics.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m16meed5t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look for: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Extremely high balances or incomes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Sudden jumps in utilization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9ft396ty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Cap/floor values (e.g., 1st–99th percentile)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robust models or robust scalers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lu7tv18sy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Class Imbalance Handling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cmn238k5nt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Charge-off is likely rare (&lt;5%), and models may ignore it.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x67tn5005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do: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Oversample minority class (e.g., SMOTE)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Undersample majority class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weighted loss functions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l2yf6a4sn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multiple strategies and compare performance on recall, F1, etc.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validate on real (imbalanced) distribution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2k04tqxlf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Data Leakage Checks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ts04d91ea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Leakage leads to unrealistic performance in training that won’t hold in production.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r0p6d8lwb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check: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Any column that could contain future info or derived from the target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. Basic Data Quality Checks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xtszs645r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understand the shape, data types, and overall structure before deeper analysis.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6yrygi1va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look for: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Incorrect data types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for binary)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Unexpected number of columns/rows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dfqkdqjl5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data types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.astype('int')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Rename or drop irrelevant columns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ysrf9l35h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Missing Values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inu2e9zrjn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Missing data can bias results or cause models to fail.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wycswl5d9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look for: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Columns with many nulls (e.g., FICO might be null for “No-Hit” cases)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columns with unexpected nulls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lmio4uoue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Impute values (mean/median for numeric, mode for categorical)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separate "missing" categories or indicators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rows/columns if missingness is excessive and not informative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nmbyxtxk3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Target Variable Analysis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7m5dj55kz0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Helps understand class imbalance and guides model selection and evaluation metrics.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nevavb7rb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look for: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Highly imbalanced binary targets (e.g., &lt;5% charge-offs)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Right-skewed continuous targets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ChargeOff_Balance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oo8nibpfup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metrics like AUC, F1, or precision-recall for imbalanced classification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log transformation to right-skewed continuous targets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zhfp74moi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Univariate Feature Distributions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ibovarz795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Understand distribution, skewness, and outliers for each feature.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wzibfc4e2l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look for: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Skewed distributions (common in income/debt)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Zero-inflated features (many zeros)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Outliers or spikes at extreme values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oznd1v0wkp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Log/Box-Cox transform skewed features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 or remove extreme outliers (e.g., top 1%)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bins or flag zero-heavy columns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2a6dhsxfq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Bivariate Analysis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imjrck9rk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Helps find how features relate to target and whether they are predictive.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kdrn45oepm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look for: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differences between charge-off and non-charge-off groups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with little separation (low predictive value)</w:t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r6sucnovvw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features with good separation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or de-prioritize low-variance or weakly predictive variables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5vh6m7u8z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Correlation Analysis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qtju6fhr06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Identify features most correlated with targets or each other (multicollinearity).</w:t>
        <w:br w:type="textWrapping"/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s60mceo7vr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look for: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correlation with target → potentially useful feature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correlation between predictors → may cause multicollinearity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oqswewsnk4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Drop redundant features (correlation &gt; 0.9)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PCA or regularization (Ridge/Lasso) to reduce dimensionality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lfmioaqii3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Feature Engineering Opportunities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awqqkl5uaz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Why: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Helps you extract more signal from existing data.</w:t>
        <w:br w:type="textWrapping"/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izlo9589zn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What to create: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Ratios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Unsecured_Debt / Income</w:t>
      </w:r>
      <w:r w:rsidDel="00000000" w:rsidR="00000000" w:rsidRPr="00000000">
        <w:rPr>
          <w:rtl w:val="0"/>
        </w:rPr>
        <w:t xml:space="preserve"> (Debt-to-Income)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Binning of FICO into ranges (e.g., “Poor”, “Fair”)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No_Hit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FICO is 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true new-to-credit indicator)</w:t>
        <w:br w:type="textWrapping"/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6i3md8xmni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Normalize or scale new features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ChargeOff_Balance</w:t>
      </w:r>
      <w:r w:rsidDel="00000000" w:rsidR="00000000" w:rsidRPr="00000000">
        <w:rPr>
          <w:rtl w:val="0"/>
        </w:rPr>
        <w:t xml:space="preserve"> used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Ever_ChargeOff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invalid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Delinquency_90_days_last_12mo</w:t>
      </w:r>
      <w:r w:rsidDel="00000000" w:rsidR="00000000" w:rsidRPr="00000000">
        <w:rPr>
          <w:rtl w:val="0"/>
        </w:rPr>
        <w:t xml:space="preserve"> might indirectly capture a charge-off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c6ddbble3w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Solutions: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Carefully exclude leaked features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proper feature filtering and temporal logic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