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0"/>
        </w:rPr>
        <w:t>Ad Optimization Agent — Scaling Note</w:t>
      </w:r>
    </w:p>
    <w:p>
      <w:pPr>
        <w:spacing w:after="160"/>
      </w:pPr>
      <w:r>
        <w:rPr>
          <w:i/>
          <w:color w:val="5A5A5A"/>
          <w:sz w:val="21"/>
        </w:rPr>
        <w:t>Minimal prototype for daily cross-channel budget allocation</w:t>
      </w:r>
    </w:p>
    <w:p>
      <w:pPr>
        <w:spacing w:after="60"/>
      </w:pPr>
      <w:r>
        <w:rPr>
          <w:b/>
          <w:color w:val="1F4E79"/>
        </w:rPr>
        <w:t>Cloud runtime</w:t>
      </w:r>
      <w:r>
        <w:t xml:space="preserve"> — Package the Python script as a daily batch job (for example, containerized on Cloud Run, ECS, or a scheduled VM). Store raw channel data in object storage or a warehouse and write outputs to a managed table or dashboard.</w:t>
      </w:r>
    </w:p>
    <w:p>
      <w:pPr>
        <w:spacing w:after="60"/>
      </w:pPr>
      <w:r>
        <w:rPr>
          <w:b/>
          <w:color w:val="1F4E79"/>
        </w:rPr>
        <w:t>Monitoring and logging</w:t>
      </w:r>
      <w:r>
        <w:t xml:space="preserve"> — Emit structured logs for each run: input row count, budget recommendation, guardrail overrides, and evaluation metrics. Add alerts for missing data, sudden CPA spikes, or failed runs. Keep a daily audit log of the rationale string for human review.</w:t>
      </w:r>
    </w:p>
    <w:p>
      <w:pPr>
        <w:spacing w:after="60"/>
      </w:pPr>
      <w:r>
        <w:rPr>
          <w:b/>
          <w:color w:val="1F4E79"/>
        </w:rPr>
        <w:t>Reliability</w:t>
      </w:r>
      <w:r>
        <w:t xml:space="preserve"> — Add retries for data reads/writes, schema checks on the CSV feed, and fallback behavior to equal split when data quality tests fail. Version the decision logic so changes are traceable.</w:t>
      </w:r>
    </w:p>
    <w:p>
      <w:pPr>
        <w:spacing w:after="60"/>
      </w:pPr>
      <w:r>
        <w:rPr>
          <w:b/>
          <w:color w:val="1F4E79"/>
        </w:rPr>
        <w:t>Cost controls</w:t>
      </w:r>
      <w:r>
        <w:t xml:space="preserve"> — Keep the agent lightweight: scheduled once per day, no expensive model calls, fixed compute limits, and retention policies for logs/artifacts. Cap dashboards and storage to a small rolling window unless long-term history is needed.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