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19355C"/>
          <w:sz w:val="40"/>
        </w:rPr>
        <w:t>Inventory Replenishment Agent - Design Doc</w:t>
      </w:r>
    </w:p>
    <w:p>
      <w:r>
        <w:rPr>
          <w:color w:val="606060"/>
          <w:sz w:val="18"/>
        </w:rPr>
        <w:t>Purpose: simple supply-chain agent that reduces stockouts and total cost while keeping decisions transparent.</w:t>
      </w:r>
    </w:p>
    <w:tbl>
      <w:tblPr>
        <w:tblW w:type="auto" w:w="0"/>
        <w:jc w:val="left"/>
        <w:tblLayout w:type="fixed"/>
        <w:tblLook w:firstColumn="1" w:firstRow="1" w:lastColumn="0" w:lastRow="0" w:noHBand="0" w:noVBand="1" w:val="04A0"/>
      </w:tblPr>
      <w:tblGrid>
        <w:gridCol w:w="9792"/>
      </w:tblGrid>
      <w:tr>
        <w:tc>
          <w:tcPr>
            <w:tcW w:type="dxa" w:w="10224"/>
            <w:shd w:fill="EAF3FF"/>
            <w:vAlign w:val="center"/>
          </w:tcPr>
          <w:p>
            <w:r>
              <w:rPr>
                <w:b/>
                <w:sz w:val="20"/>
              </w:rPr>
              <w:t>Optimization target: minimize stockouts plus total cost (holding + stockout cost) while preserving customer trust through strong fill rate and explainable daily logs.</w:t>
            </w:r>
          </w:p>
        </w:tc>
      </w:tr>
    </w:tbl>
    <w:p/>
    <w:p>
      <w:r>
        <w:rPr>
          <w:b/>
        </w:rPr>
        <w:t xml:space="preserve">Agent role and outputs. </w:t>
      </w:r>
      <w:r>
        <w:t>Each day, the agent forecasts demand for each SKU, estimates safety stock from forecast error and service level, projects inventory through lead time plus one review day, and outputs either order quantity or wait.</w:t>
      </w:r>
    </w:p>
    <w:p>
      <w:r>
        <w:rPr>
          <w:b/>
        </w:rPr>
        <w:t xml:space="preserve">Inputs. </w:t>
      </w:r>
      <w:r>
        <w:t>The agent reads sales.csv (date, sku, qty_sold), inventory.csv (sku, opening_stock), and params.csv (sku, unit_cost, holding_cost_per_day, stockout_cost, lead_time_days, min_order_qty, service_level).</w:t>
      </w:r>
    </w:p>
    <w:p>
      <w:r>
        <w:rPr>
          <w:b/>
        </w:rPr>
        <w:t xml:space="preserve">Forecasting + reorder logic. </w:t>
      </w:r>
      <w:r>
        <w:t>Demand is forecast with EWMA (alpha=0.35). Safety stock uses the normal-service approximation z(service level) x forecast-error sigma x sqrt(lead time + review period). Reorder point = forecast x (lead time + 1) + safety stock. If projected inventory drops below the reorder point, the agent places an order sized to restore inventory near the target level.</w:t>
      </w:r>
    </w:p>
    <w:p>
      <w:r>
        <w:rPr>
          <w:b/>
        </w:rPr>
        <w:t xml:space="preserve">Guardrails and business rules. </w:t>
      </w:r>
      <w:r>
        <w:t>Orders always respect min_order_qty, include lead time before receipt, use service_level to protect against uncertainty, and cap target inventory at roughly 21 days of forecast demand to avoid unrealistic over-ordering and excess working capital.</w:t>
      </w:r>
    </w:p>
    <w:p>
      <w:r>
        <w:rPr>
          <w:b/>
        </w:rPr>
        <w:t xml:space="preserve">Metrics, ethics, and trust. </w:t>
      </w:r>
      <w:r>
        <w:t>The evaluation tracks stockouts, fill rate, and total cost. Higher fill rate protects customer trust by preventing missed sales and service failures. Cost controls matter because over-ordering ties up cash and increases holding cost. The daily log makes each decision auditable and easier to challenge if assumptions drift.</w:t>
      </w:r>
    </w:p>
    <w:tbl>
      <w:tblPr>
        <w:tblW w:type="auto" w:w="0"/>
        <w:jc w:val="left"/>
        <w:tblLayout w:type="fixed"/>
        <w:tblLook w:firstColumn="1" w:firstRow="1" w:lastColumn="0" w:lastRow="0" w:noHBand="0" w:noVBand="1" w:val="04A0"/>
      </w:tblPr>
      <w:tblGrid>
        <w:gridCol w:w="3168"/>
        <w:gridCol w:w="3024"/>
        <w:gridCol w:w="3456"/>
      </w:tblGrid>
      <w:tr>
        <w:tc>
          <w:tcPr>
            <w:tcW w:type="dxa" w:w="3408"/>
            <w:shd w:fill="D9E8FB"/>
            <w:vAlign w:val="center"/>
          </w:tcPr>
          <w:p>
            <w:r>
              <w:rPr>
                <w:b/>
                <w:sz w:val="19"/>
              </w:rPr>
              <w:t>Metric</w:t>
            </w:r>
          </w:p>
        </w:tc>
        <w:tc>
          <w:tcPr>
            <w:tcW w:type="dxa" w:w="3408"/>
            <w:shd w:fill="D9E8FB"/>
            <w:vAlign w:val="center"/>
          </w:tcPr>
          <w:p>
            <w:r>
              <w:rPr>
                <w:b/>
                <w:sz w:val="19"/>
              </w:rPr>
              <w:t>How measured</w:t>
            </w:r>
          </w:p>
        </w:tc>
        <w:tc>
          <w:tcPr>
            <w:tcW w:type="dxa" w:w="3408"/>
            <w:shd w:fill="D9E8FB"/>
            <w:vAlign w:val="center"/>
          </w:tcPr>
          <w:p>
            <w:r>
              <w:rPr>
                <w:b/>
                <w:sz w:val="19"/>
              </w:rPr>
              <w:t>Why it matters</w:t>
            </w:r>
          </w:p>
        </w:tc>
      </w:tr>
      <w:tr>
        <w:tc>
          <w:tcPr>
            <w:tcW w:type="dxa" w:w="3168"/>
            <w:vAlign w:val="center"/>
          </w:tcPr>
          <w:p>
            <w:r>
              <w:rPr>
                <w:sz w:val="19"/>
              </w:rPr>
              <w:t>Stockouts</w:t>
            </w:r>
          </w:p>
        </w:tc>
        <w:tc>
          <w:tcPr>
            <w:tcW w:type="dxa" w:w="3024"/>
            <w:vAlign w:val="center"/>
          </w:tcPr>
          <w:p>
            <w:r>
              <w:rPr>
                <w:sz w:val="19"/>
              </w:rPr>
              <w:t>Lost units when demand exceeds on-hand inventory</w:t>
            </w:r>
          </w:p>
        </w:tc>
        <w:tc>
          <w:tcPr>
            <w:tcW w:type="dxa" w:w="3456"/>
            <w:vAlign w:val="center"/>
          </w:tcPr>
          <w:p>
            <w:r>
              <w:rPr>
                <w:sz w:val="19"/>
              </w:rPr>
              <w:t>Direct signal of poor service</w:t>
            </w:r>
          </w:p>
        </w:tc>
      </w:tr>
      <w:tr>
        <w:tc>
          <w:tcPr>
            <w:tcW w:type="dxa" w:w="3168"/>
            <w:vAlign w:val="center"/>
          </w:tcPr>
          <w:p>
            <w:r>
              <w:rPr>
                <w:sz w:val="19"/>
              </w:rPr>
              <w:t>Fill rate</w:t>
            </w:r>
          </w:p>
        </w:tc>
        <w:tc>
          <w:tcPr>
            <w:tcW w:type="dxa" w:w="3024"/>
            <w:vAlign w:val="center"/>
          </w:tcPr>
          <w:p>
            <w:r>
              <w:rPr>
                <w:sz w:val="19"/>
              </w:rPr>
              <w:t>Fulfilled units / total demand</w:t>
            </w:r>
          </w:p>
        </w:tc>
        <w:tc>
          <w:tcPr>
            <w:tcW w:type="dxa" w:w="3456"/>
            <w:vAlign w:val="center"/>
          </w:tcPr>
          <w:p>
            <w:r>
              <w:rPr>
                <w:sz w:val="19"/>
              </w:rPr>
              <w:t>Shows service reliability</w:t>
            </w:r>
          </w:p>
        </w:tc>
      </w:tr>
      <w:tr>
        <w:tc>
          <w:tcPr>
            <w:tcW w:type="dxa" w:w="3168"/>
            <w:vAlign w:val="center"/>
          </w:tcPr>
          <w:p>
            <w:r>
              <w:rPr>
                <w:sz w:val="19"/>
              </w:rPr>
              <w:t>Total cost</w:t>
            </w:r>
          </w:p>
        </w:tc>
        <w:tc>
          <w:tcPr>
            <w:tcW w:type="dxa" w:w="3024"/>
            <w:vAlign w:val="center"/>
          </w:tcPr>
          <w:p>
            <w:r>
              <w:rPr>
                <w:sz w:val="19"/>
              </w:rPr>
              <w:t>Holding cost + stockout cost</w:t>
            </w:r>
          </w:p>
        </w:tc>
        <w:tc>
          <w:tcPr>
            <w:tcW w:type="dxa" w:w="3456"/>
            <w:vAlign w:val="center"/>
          </w:tcPr>
          <w:p>
            <w:r>
              <w:rPr>
                <w:sz w:val="19"/>
              </w:rPr>
              <w:t>Balances availability and cost discipline</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9355C"/>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9355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9355C"/>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