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20/BTNN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Hủy quyết định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##CanCu##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1.</w:t>
      </w:r>
      <w:r>
        <w:rPr>
          <w:sz w:val="28"/>
          <w:szCs w:val="28"/>
        </w:rPr>
        <w:t xml:space="preserve"> Hủy Quyết định giải quyết bồi thường số ##SoQDGiaiQuyetBiHuy## ngày ##NgayBanHanhQDBiHuy## của ##CoQuanBanHanhQDBiHuy## vì ##LyDoHuyQuyetDinh##.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##HauQuaPhapLyVaBienPhapXuLy## đối với vụ việc yêu cầu bồi thường của Ông/Bà ##TenNguoiYeuCauBoiThuong##.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3.</w:t>
      </w:r>
      <w:r>
        <w:rPr>
          <w:sz w:val="28"/>
          <w:szCs w:val="28"/>
        </w:rPr>
        <w:t xml:space="preserve">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b/>
          <w:bCs/>
          <w:sz w:val="28"/>
          <w:szCs w:val="28"/>
        </w:rPr>
        <w:t>Điều 4.</w:t>
      </w:r>
      <w:r>
        <w:rPr>
          <w:sz w:val="28"/>
          <w:szCs w:val="28"/>
        </w:rPr>
        <w:t xml:space="preserve">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