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21/BTNN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QUYẾT ĐỊNH</w:t>
      </w:r>
    </w:p>
    <w:p>
      <w:pPr>
        <w:spacing w:after="240"/>
        <w:jc w:val="center"/>
      </w:pPr>
      <w:r>
        <w:rPr>
          <w:b/>
          <w:sz w:val="28"/>
          <w:szCs w:val="28"/>
        </w:rPr>
        <w:t>Sửa chữa, bổ sung quyết định giải quyết bồi thường</w:t>
      </w:r>
    </w:p>
    <w:p>
      <w:pPr>
        <w:jc w:val="center"/>
        <w:spacing w:after="120" w:line="276" w:lineRule="auto"/>
      </w:pPr>
      <w:r>
        <w:rPr>
          <w:b/>
          <w:caps/>
          <w:sz w:val="28"/>
          <w:szCs w:val="28"/>
        </w:rPr>
        <w:t xml:space="preserve">##ChucVuNguoiDungDau##</w:t>
      </w:r>
    </w:p>
    <w:p>
      <w:pPr>
        <w:spacing w:after="120" w:line="276" w:lineRule="auto"/>
        <w:ind w:firstLine="567"/>
        <w:jc w:val="both"/>
      </w:pPr>
      <w:r>
        <w:rPr>
          <w:i/>
          <w:sz w:val="28"/>
          <w:szCs w:val="28"/>
        </w:rPr>
        <w:t xml:space="preserve">Căn cứ khoản 4, 5 Điều 48 Luật Trách nhiệm bồi thường của Nhà nước năm 2017,</w:t>
      </w:r>
    </w:p>
    <w:p>
      <w:pPr>
        <w:spacing w:after="120" w:line="276" w:lineRule="auto"/>
        <w:jc w:val="center"/>
      </w:pPr>
      <w:r>
        <w:rPr>
          <w:b/>
          <w:sz w:val="28"/>
          <w:szCs w:val="28"/>
        </w:rPr>
        <w:t xml:space="preserve">QUYẾT ĐỊNH:</w:t>
      </w:r>
    </w:p>
    <w:p>
      <w:pPr>
        <w:spacing w:after="120" w:line="276" w:lineRule="auto"/>
        <w:ind w:firstLine="567"/>
        <w:jc w:val="both"/>
      </w:pPr>
      <w:r>
        <w:rPr>
          <w:b/>
          <w:bCs/>
          <w:sz w:val="28"/>
          <w:szCs w:val="28"/>
        </w:rPr>
        <w:t>Điều 1.</w:t>
      </w:r>
      <w:r>
        <w:rPr>
          <w:sz w:val="28"/>
          <w:szCs w:val="28"/>
        </w:rPr>
        <w:t xml:space="preserve"> Sửa chữa, bổ sung Quyết định giải quyết bồi thường số ##SoQDDuocSuaDoiBoSung## ngày ##NgayBanHanhQDCu## của ##CoQuanBanHanhQDCu## như sau: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##NoiDungSuaChuaBoSung##</w:t>
      </w:r>
    </w:p>
    <w:p>
      <w:pPr>
        <w:spacing w:after="120" w:line="276" w:lineRule="auto"/>
        <w:ind w:firstLine="567"/>
        <w:jc w:val="both"/>
      </w:pPr>
      <w:r>
        <w:rPr>
          <w:b/>
          <w:bCs/>
          <w:sz w:val="28"/>
          <w:szCs w:val="28"/>
        </w:rPr>
        <w:t>Điều 2.</w:t>
      </w:r>
      <w:r>
        <w:rPr>
          <w:sz w:val="28"/>
          <w:szCs w:val="28"/>
        </w:rPr>
        <w:t xml:space="preserve"> Quyết định này có hiệu lực ##NgayCoHieuLuc##.</w:t>
      </w:r>
    </w:p>
    <w:p>
      <w:pPr>
        <w:spacing w:after="120" w:line="276" w:lineRule="auto"/>
        <w:ind w:firstLine="567"/>
        <w:jc w:val="both"/>
      </w:pPr>
      <w:r>
        <w:rPr>
          <w:b/>
          <w:bCs/>
          <w:sz w:val="28"/>
          <w:szCs w:val="28"/>
        </w:rPr>
        <w:t>Điều 3.</w:t>
      </w:r>
      <w:r>
        <w:rPr>
          <w:sz w:val="28"/>
          <w:szCs w:val="28"/>
        </w:rPr>
        <w:t xml:space="preserve"> Ông/Bà ##TenNguoiYeuCauBoiThuong## và cơ quan, tổ chức, cá nhân có liên quan chịu trách nhiệm thi hành Quyết định này./.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##NoiNhan##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##ChucVuNguoiKy##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 và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