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22/BTNN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Hoãn giải quyết bồi thường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Điều 49 Luật Trách nhiệm bồi thường của Nhà nước số 10/2017/QH14 (được sửa đổi, bổ sung bởi Luật số 15/2026/QH16);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Xét đề nghị hoãn giải quyết yêu cầu bồi thường của Ông/Bà ##TenNguoiYeuCauBoiThuong## ngày…/…/….,</w:t>
      </w:r>
    </w:p>
    <w:p>
      <w:pPr>
        <w:jc w:val="center"/>
        <w:spacing w:after="120" w:line="276" w:lineRule="auto"/>
      </w:pPr>
      <w:r>
        <w:rPr>
          <w:b/>
          <w:sz w:val="28"/>
          <w:szCs w:val="28"/>
        </w:rPr>
        <w:t xml:space="preserve">QUYẾT ĐỊNH:</w:t>
      </w:r>
    </w:p>
    <w:p>
      <w:pPr>
        <w:jc w:val="both"/>
        <w:ind w:firstLine="567"/>
        <w:spacing w:after="120" w:line="276" w:lineRule="auto"/>
      </w:pPr>
      <w:r>
        <w:rPr>
          <w:b/>
          <w:bCs/>
          <w:sz w:val="28"/>
          <w:szCs w:val="28"/>
        </w:rPr>
        <w:t>Điều 1.</w:t>
      </w:r>
      <w:r>
        <w:rPr>
          <w:sz w:val="28"/>
          <w:szCs w:val="28"/>
        </w:rPr>
        <w:t xml:space="preserve"> Hoãn giải quyết yêu cầu bồi thường của Ông/Bà ##TenNguoiYeuCauBoiThuong## vì ##LyDoHoanGiaiQuyet##.</w:t>
      </w:r>
    </w:p>
    <w:p>
      <w:pPr>
        <w:jc w:val="both"/>
        <w:ind w:firstLine="567"/>
        <w:spacing w:after="120" w:line="276" w:lineRule="auto"/>
      </w:pPr>
      <w:r>
        <w:rPr>
          <w:b/>
          <w:bCs/>
          <w:sz w:val="28"/>
          <w:szCs w:val="28"/>
        </w:rPr>
        <w:t>Điều 2.</w:t>
      </w:r>
      <w:r>
        <w:rPr>
          <w:sz w:val="28"/>
          <w:szCs w:val="28"/>
        </w:rPr>
        <w:t xml:space="preserve"> Thời hạn hoãn là ##ThoiHanHoan## ngày, từ ngày ##TuNgayHoan## đến ngày ##DenNgayHoan##.</w:t>
      </w:r>
    </w:p>
    <w:p>
      <w:pPr>
        <w:jc w:val="both"/>
        <w:ind w:firstLine="567"/>
        <w:spacing w:after="120" w:line="276" w:lineRule="auto"/>
      </w:pPr>
      <w:r>
        <w:rPr>
          <w:b/>
          <w:bCs/>
          <w:sz w:val="28"/>
          <w:szCs w:val="28"/>
        </w:rPr>
        <w:t>Điều 3.</w:t>
      </w:r>
      <w:r>
        <w:rPr>
          <w:sz w:val="28"/>
          <w:szCs w:val="28"/>
        </w:rPr>
        <w:t xml:space="preserve"> Quyết định này có hiệu lực kể từ ngày ký.</w:t>
      </w:r>
    </w:p>
    <w:p>
      <w:pPr>
        <w:jc w:val="both"/>
        <w:ind w:firstLine="567"/>
        <w:spacing w:after="120" w:line="276" w:lineRule="auto"/>
      </w:pPr>
      <w:r>
        <w:rPr>
          <w:b/>
          <w:bCs/>
          <w:sz w:val="28"/>
          <w:szCs w:val="28"/>
        </w:rPr>
        <w:t>Điều 4.</w:t>
      </w:r>
      <w:r>
        <w:rPr>
          <w:sz w:val="28"/>
          <w:szCs w:val="28"/>
        </w:rPr>
        <w:t xml:space="preserve"> Ông/Bà ##TenNguoiYeuCauBoiThuong## và cơ quan, tổ chức, cá nhân có liên quan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##NoiNhan##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