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23/BTNN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Tiếp tục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##CanCuTiepTucGiaiQuyet## Luật Trách nhiệm bồi thường của Nhà nước năm 2017 số 10/2017/QH14 (được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##LoaiQDHoanTamDinhChi## giải quyết yêu cầu bồi thường số ##SoQDHoanTamDinhChi##, ngày ##NgayQDHoanTamDinhChi## của ##CoQuanBanHanhQDHoanTamDinhChi##;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1.</w:t>
      </w:r>
      <w:r>
        <w:rPr>
          <w:sz w:val="28"/>
          <w:szCs w:val="28"/>
        </w:rPr>
        <w:t xml:space="preserve"> Tiếp tục giải quyết yêu cầu bồi thường của Ông/Bà ##TenNguoiYeuCauBoiThuong##. Địa chỉ: ##DiaChiNguoiYeuCauBoiThuong##.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Quyết định này có hiệu lực kể từ ngày ký. Quyết định ##LoaiQDHoanTamDinhChi## giải quyết yêu cầu bồi thường số ##SoQDHoanTamDinhChi## ngày ##NgayQDHoanTamDinhChi## hết hiệu lực kể từ ngày Quyết định này có hiệu lực.</w:t>
      </w:r>
    </w:p>
    <w:p>
      <w:pPr>
        <w:spacing w:after="120" w:line="276" w:lineRule="auto"/>
        <w:ind w:firstLine="567"/>
        <w:jc w:val="both"/>
      </w:pPr>
      <w:r>
        <w:rPr>
          <w:b/>
          <w:bCs/>
          <w:sz w:val="28"/>
          <w:szCs w:val="28"/>
        </w:rPr>
        <w:t>Điều 3.</w:t>
      </w:r>
      <w:r>
        <w:rPr>
          <w:sz w:val="28"/>
          <w:szCs w:val="28"/>
        </w:rPr>
        <w:t xml:space="preserve">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