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38/BTNN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Miễn hoàn trả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khoản 4a, Điều 65 Luật Trách nhiệm bồi thường của Nhà nước số 10/2017/QH14 (đã được sửa đổi, bổ sung bởi Luật số 15/2026/QH16);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Quyết định giải quyết bồi thường số ##SoQDGiaiQuyetBoiThuong## ngày ##NgayQDGiaiQuyetBoiThuong## đối với vụ việc yêu cầu bồi thường của ##TenNguoiYeuCauBoiThuong##;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Quyết định hoàn trả số ##SoQDHoanTra## ngày ##NgayQDHoanTra##;</w:t>
      </w:r>
    </w:p>
    <w:p>
      <w:pPr>
        <w:spacing w:after="120" w:line="276" w:lineRule="auto"/>
        <w:jc w:val="center"/>
      </w:pPr>
      <w:r>
        <w:rPr>
          <w:b/>
          <w:sz w:val="28"/>
          <w:szCs w:val="28"/>
        </w:rPr>
        <w:t xml:space="preserve">QUYẾT ĐỊNH:</w:t>
      </w:r>
    </w:p>
    <w:p>
      <w:pPr>
        <w:spacing w:after="120" w:line="276" w:lineRule="auto"/>
        <w:ind w:firstLine="567"/>
        <w:jc w:val="both"/>
      </w:pPr>
      <w:r>
        <w:rPr>
          <w:b/>
          <w:bCs/>
          <w:sz w:val="28"/>
          <w:szCs w:val="28"/>
        </w:rPr>
        <w:t>Điều 1.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##BatDauKhoiCanBo##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##SttCanBo##. Miễn hoàn trả cho Ông/Bà ##TenNguoiThiHanhCongVu## như sau: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Mức độ lỗi: ##MucDoLoi##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Số tiền phải hoàn trả theo Quyết định hoàn trả số ##SoQDHoanTra## ngày ##NgayQDHoanTra##: ##SoTienHoanTraBanDau## đồng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(Bằng chữ ##SoTienHoanTraBanDauBangChu##)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Phương thức hoàn trả: ##PhuongThucHoanTra##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Số tiền hoàn trả được miễn: ##SoTienHoanTraDuocMien## đồng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Số tiền còn phải hoàn trả: 0 VNĐ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(Bằng chữ: không đồng).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Lý do miễn hoàn trả ##LyDoMienHoanTra##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##KetThucKhoiCanBo##</w:t>
      </w:r>
    </w:p>
    <w:p>
      <w:pPr>
        <w:spacing w:after="120" w:line="276" w:lineRule="auto"/>
        <w:ind w:firstLine="567"/>
        <w:jc w:val="both"/>
      </w:pPr>
      <w:r>
        <w:rPr>
          <w:b/>
          <w:bCs/>
          <w:sz w:val="28"/>
          <w:szCs w:val="28"/>
        </w:rPr>
        <w:t>Điều 2.</w:t>
      </w:r>
      <w:r>
        <w:rPr>
          <w:sz w:val="28"/>
          <w:szCs w:val="28"/>
        </w:rPr>
        <w:t xml:space="preserve"> Quyết định này có hiệu lực kể từ ngày ký. Ông/Bà có tên tại Điều 1 Quyết định này và các cơ quan, tổ chức có liên quan chịu trách nhiệm thi hành Quyết định này.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- Như Điều 1 (để thực hiện);</w:t>
            </w:r>
          </w:p>
          <w:p>
            <w:r>
              <w:rPr>
                <w:sz w:val="22"/>
                <w:szCs w:val="22"/>
              </w:rPr>
              <w:t xml:space="preserve">- ##TenCoQuanQuanLyNhaNuocBTNN##;</w:t>
            </w:r>
          </w:p>
          <w:p>
            <w:r>
              <w:rPr>
                <w:sz w:val="22"/>
                <w:szCs w:val="22"/>
              </w:rPr>
              <w:t xml:space="preserve">- Lưu: VT, HSVV.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