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39/BTNN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Đình chỉ việc xem xét trách nhiệm hoàn trả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##CanCu##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b/>
          <w:bCs/>
          <w:sz w:val="28"/>
          <w:szCs w:val="28"/>
        </w:rPr>
        <w:t>Điều 1.</w:t>
      </w:r>
      <w:r>
        <w:rPr>
          <w:sz w:val="28"/>
          <w:szCs w:val="28"/>
        </w:rPr>
        <w:t xml:space="preserve"> Đình chỉ việc xác định trách nhiệm hoàn trả trong vụ việc yêu cầu bồi thường của ##TenNguoiBiThietHai## vì ##VanBanLamCanCuYCBT## không còn là văn bản làm căn cứ yêu cầu bồi thường.</w:t>
      </w:r>
    </w:p>
    <w:p>
      <w:pPr>
        <w:jc w:val="both"/>
        <w:ind w:firstLine="567"/>
        <w:spacing w:after="120" w:line="276" w:lineRule="auto"/>
      </w:pPr>
      <w:r>
        <w:rPr>
          <w:b/>
          <w:bCs/>
          <w:sz w:val="28"/>
          <w:szCs w:val="28"/>
        </w:rPr>
        <w:t>Điều 2.</w:t>
      </w:r>
      <w:r>
        <w:rPr>
          <w:sz w:val="28"/>
          <w:szCs w:val="28"/>
        </w:rPr>
        <w:t xml:space="preserve"> Quyết định này có hiệu lực kể từ ngày ký./.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