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02/BTNN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GIẤY TIẾP NHẬN YÊU CẦU BỒI THƯỜNG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##TenNguoiYeuCauBoiThuong##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##DiaChiNguoiYeuCauBoiThuong##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Điện thoại: ##SoDienThoaiNguoiYeuCau##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Ngày ##NgayTiepNhan##, ##TenCoQuanGiaiQuyetBoiThuong## đã nhận được văn bản yêu cầu bồi thường/hồ sơ yêu cầu bồi thường của Ông/Bà nộp ##HinhThucNopHoSo##. Chúng tôi sẽ xử lý yêu cầu bồi thường của Ông/Bà theo quy định.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Hồ sơ yêu cầu bồi thường gồm: (nếu có)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##DanhSachGiayToTiepNhan##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