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05/BTNN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THÔNG BÁO</w:t>
      </w:r>
    </w:p>
    <w:p>
      <w:pPr>
        <w:spacing w:after="240"/>
        <w:jc w:val="center"/>
      </w:pPr>
      <w:r>
        <w:rPr>
          <w:b/>
          <w:sz w:val="28"/>
          <w:szCs w:val="28"/>
        </w:rPr>
        <w:t>Về việc dừng giải quyết yêu cầu bồi thường</w:t>
      </w:r>
    </w:p>
    <w:p>
      <w:pPr>
        <w:jc w:val="both"/>
        <w:spacing w:after="120" w:line="276" w:lineRule="auto"/>
      </w:pPr>
      <w:r>
        <w:rPr>
          <w:b/>
          <w:sz w:val="28"/>
          <w:szCs w:val="28"/>
        </w:rPr>
        <w:t xml:space="preserve">Kính gửi: ##TenNguoiYeuCauBoiThuong##</w:t>
      </w:r>
    </w:p>
    <w:p>
      <w:pPr>
        <w:jc w:val="both"/>
        <w:spacing w:after="120" w:line="276" w:lineRule="auto"/>
      </w:pPr>
      <w:r>
        <w:rPr>
          <w:sz w:val="28"/>
          <w:szCs w:val="28"/>
        </w:rPr>
        <w:t xml:space="preserve">Địa chỉ: ##DiaChiNguoiYeuCauBoiThuong##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Vụ việc yêu cầu bồi thường của Ông/Bà đã được ##TenCoQuanGiaiQuyetBoiThuong## thụ lý và thông báo cho Ông/Bà theo Thông báo số ##SoThongBaoThuLy## ngày ##NgayThongBaoThuLy##. Tuy nhiên, trong quá trình thực hiện việc giải quyết yêu cầu bồi thường, ##TenCoQuanGiaiQuyetBoiThuong## nhận thấy ##LyDoDungGiaiQuyet## quy định tại ##CanCuDungGiaiQuyet## Điều 43 Luật Trách nhiệm bồi thường của Nhà nước.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Căn cứ quy định tại khoản 6 Điều 43 Luật Trách nhiệm bồi thường của Nhà nước (được sửa đổi, bổ sung bởi Luật số 15/2026/QH16), ##TenCoQuanGiaiQuyetBoiThuong## dừng việc giải quyết yêu cầu bồi thường và ##BienPhapXuLyTiepTheo##./.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trên;</w:t>
            </w:r>
          </w:p>
          <w:p>
            <w:r>
              <w:rPr>
                <w:sz w:val="22"/>
                <w:szCs w:val="22"/>
              </w:rPr>
              <w:t xml:space="preserve">- ##TenCoQuanQuanLyNhaNuocBTNN## (để biết);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##ChucVuNguoiDungDau##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